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4215121" wp14:paraId="2C078E63" wp14:noSpellErr="1" wp14:textId="6D01BAEC">
      <w:pPr>
        <w:pStyle w:val="Normal"/>
        <w:jc w:val="center"/>
        <w:rPr>
          <w:rFonts w:ascii="Times New Roman" w:hAnsi="Times New Roman" w:eastAsia="Times New Roman" w:cs="Times New Roman"/>
          <w:b w:val="1"/>
          <w:bCs w:val="1"/>
          <w:i w:val="0"/>
          <w:iCs w:val="0"/>
          <w:caps w:val="0"/>
          <w:smallCaps w:val="0"/>
          <w:noProof w:val="0"/>
          <w:sz w:val="24"/>
          <w:szCs w:val="24"/>
          <w:lang w:val="en-US"/>
        </w:rPr>
      </w:pPr>
      <w:r w:rsidRPr="24215121" w:rsidR="63D5977A">
        <w:rPr>
          <w:rFonts w:ascii="Times New Roman" w:hAnsi="Times New Roman" w:eastAsia="Times New Roman" w:cs="Times New Roman"/>
          <w:b w:val="1"/>
          <w:bCs w:val="1"/>
        </w:rPr>
        <w:t xml:space="preserve">Revisions for </w:t>
      </w:r>
      <w:r w:rsidRPr="24215121" w:rsidR="63D5977A">
        <w:rPr>
          <w:rFonts w:ascii="Times New Roman" w:hAnsi="Times New Roman" w:eastAsia="Times New Roman" w:cs="Times New Roman"/>
          <w:b w:val="1"/>
          <w:bCs w:val="1"/>
        </w:rPr>
        <w:t>J</w:t>
      </w:r>
      <w:r w:rsidRPr="24215121" w:rsidR="63D5977A">
        <w:rPr>
          <w:rFonts w:ascii="Times New Roman" w:hAnsi="Times New Roman" w:eastAsia="Times New Roman" w:cs="Times New Roman"/>
          <w:b w:val="1"/>
          <w:bCs w:val="1"/>
        </w:rPr>
        <w:t>P</w:t>
      </w:r>
      <w:r w:rsidRPr="24215121" w:rsidR="63D5977A">
        <w:rPr>
          <w:rFonts w:ascii="Times New Roman" w:hAnsi="Times New Roman" w:eastAsia="Times New Roman" w:cs="Times New Roman"/>
          <w:b w:val="1"/>
          <w:bCs w:val="1"/>
        </w:rPr>
        <w:t>R</w:t>
      </w:r>
      <w:r w:rsidRPr="24215121" w:rsidR="63D5977A">
        <w:rPr>
          <w:rFonts w:ascii="Times New Roman" w:hAnsi="Times New Roman" w:eastAsia="Times New Roman" w:cs="Times New Roman"/>
          <w:b w:val="1"/>
          <w:bCs w:val="1"/>
        </w:rPr>
        <w:t xml:space="preserve">M: </w:t>
      </w:r>
      <w:r w:rsidRPr="24215121" w:rsidR="660DD7C6">
        <w:rPr>
          <w:rFonts w:ascii="Times New Roman" w:hAnsi="Times New Roman" w:eastAsia="Times New Roman" w:cs="Times New Roman"/>
          <w:b w:val="1"/>
          <w:bCs w:val="1"/>
          <w:i w:val="0"/>
          <w:iCs w:val="0"/>
          <w:caps w:val="0"/>
          <w:smallCaps w:val="0"/>
          <w:noProof w:val="0"/>
          <w:sz w:val="24"/>
          <w:szCs w:val="24"/>
          <w:lang w:val="en-US"/>
        </w:rPr>
        <w:t>"Participatory Sensemaking Through Data Parties: Lessons from Cross-Case Research and Evaluation"</w:t>
      </w:r>
    </w:p>
    <w:p w:rsidR="0FE164BD" w:rsidP="24215121" w:rsidRDefault="0FE164BD" w14:paraId="30C8EA83" w14:textId="2F406837">
      <w:pPr>
        <w:pStyle w:val="Normal"/>
        <w:jc w:val="left"/>
        <w:rPr>
          <w:rFonts w:ascii="Times New Roman" w:hAnsi="Times New Roman" w:eastAsia="Times New Roman" w:cs="Times New Roman"/>
          <w:b w:val="1"/>
          <w:bCs w:val="1"/>
          <w:i w:val="0"/>
          <w:iCs w:val="0"/>
          <w:caps w:val="0"/>
          <w:smallCaps w:val="0"/>
          <w:noProof w:val="0"/>
          <w:sz w:val="24"/>
          <w:szCs w:val="24"/>
          <w:lang w:val="en-US"/>
        </w:rPr>
      </w:pPr>
      <w:r w:rsidRPr="24215121" w:rsidR="0FE164BD">
        <w:rPr>
          <w:rFonts w:ascii="Times New Roman" w:hAnsi="Times New Roman" w:eastAsia="Times New Roman" w:cs="Times New Roman"/>
          <w:b w:val="1"/>
          <w:bCs w:val="1"/>
          <w:i w:val="0"/>
          <w:iCs w:val="0"/>
          <w:caps w:val="0"/>
          <w:smallCaps w:val="0"/>
          <w:noProof w:val="0"/>
          <w:sz w:val="24"/>
          <w:szCs w:val="24"/>
          <w:lang w:val="en-US"/>
        </w:rPr>
        <w:t xml:space="preserve">REVIEWER COPY: </w:t>
      </w:r>
      <w:hyperlink r:id="Rc64106d8c24b4884">
        <w:r w:rsidRPr="24215121" w:rsidR="0FE164BD">
          <w:rPr>
            <w:rStyle w:val="Hyperlink"/>
            <w:rFonts w:ascii="Times New Roman" w:hAnsi="Times New Roman" w:eastAsia="Times New Roman" w:cs="Times New Roman"/>
            <w:noProof w:val="0"/>
            <w:sz w:val="24"/>
            <w:szCs w:val="24"/>
            <w:lang w:val="en-US"/>
          </w:rPr>
          <w:t>REVIEWER FILE_Blind_Participatory Sensemaking Through Data Parties1.docx</w:t>
        </w:r>
      </w:hyperlink>
    </w:p>
    <w:tbl>
      <w:tblPr>
        <w:tblStyle w:val="TableGrid"/>
        <w:tblW w:w="10800" w:type="dxa"/>
        <w:tblLayout w:type="fixed"/>
        <w:tblLook w:val="06A0" w:firstRow="1" w:lastRow="0" w:firstColumn="1" w:lastColumn="0" w:noHBand="1" w:noVBand="1"/>
      </w:tblPr>
      <w:tblGrid>
        <w:gridCol w:w="4905"/>
        <w:gridCol w:w="5895"/>
      </w:tblGrid>
      <w:tr w:rsidR="5AEE1965" w:rsidTr="25BF6034" w14:paraId="265EF7E3">
        <w:trPr>
          <w:trHeight w:val="300"/>
        </w:trPr>
        <w:tc>
          <w:tcPr>
            <w:tcW w:w="4905" w:type="dxa"/>
            <w:tcMar/>
          </w:tcPr>
          <w:p w:rsidR="5AEE1965" w:rsidP="24215121" w:rsidRDefault="5AEE1965" w14:paraId="293AD4C2" w14:noSpellErr="1" w14:textId="7A3E961D">
            <w:pPr>
              <w:pStyle w:val="Normal"/>
              <w:jc w:val="left"/>
              <w:rPr>
                <w:rFonts w:ascii="Times New Roman" w:hAnsi="Times New Roman" w:eastAsia="Times New Roman" w:cs="Times New Roman"/>
                <w:b w:val="1"/>
                <w:bCs w:val="1"/>
              </w:rPr>
            </w:pPr>
            <w:r w:rsidRPr="24215121" w:rsidR="63D5977A">
              <w:rPr>
                <w:rFonts w:ascii="Times New Roman" w:hAnsi="Times New Roman" w:eastAsia="Times New Roman" w:cs="Times New Roman"/>
                <w:b w:val="1"/>
                <w:bCs w:val="1"/>
              </w:rPr>
              <w:t>Editorial Feedback</w:t>
            </w:r>
          </w:p>
        </w:tc>
        <w:tc>
          <w:tcPr>
            <w:tcW w:w="5895" w:type="dxa"/>
            <w:tcMar/>
          </w:tcPr>
          <w:p w:rsidR="5AEE1965" w:rsidP="24215121" w:rsidRDefault="5AEE1965" w14:paraId="0D308E37" w14:noSpellErr="1" w14:textId="3A545F67">
            <w:pPr>
              <w:pStyle w:val="Normal"/>
              <w:jc w:val="left"/>
              <w:rPr>
                <w:rFonts w:ascii="Times New Roman" w:hAnsi="Times New Roman" w:eastAsia="Times New Roman" w:cs="Times New Roman"/>
                <w:b w:val="1"/>
                <w:bCs w:val="1"/>
              </w:rPr>
            </w:pPr>
            <w:r w:rsidRPr="24215121" w:rsidR="63D5977A">
              <w:rPr>
                <w:rFonts w:ascii="Times New Roman" w:hAnsi="Times New Roman" w:eastAsia="Times New Roman" w:cs="Times New Roman"/>
                <w:b w:val="1"/>
                <w:bCs w:val="1"/>
              </w:rPr>
              <w:t>Description of Changes</w:t>
            </w:r>
          </w:p>
        </w:tc>
      </w:tr>
      <w:tr w:rsidR="24215121" w:rsidTr="25BF6034" w14:paraId="21BD2333">
        <w:trPr>
          <w:trHeight w:val="300"/>
        </w:trPr>
        <w:tc>
          <w:tcPr>
            <w:tcW w:w="10800" w:type="dxa"/>
            <w:gridSpan w:val="2"/>
            <w:tcMar/>
          </w:tcPr>
          <w:p w:rsidR="72637787" w:rsidP="24215121" w:rsidRDefault="72637787" w14:paraId="25974E0A" w14:textId="4502A87A">
            <w:pPr>
              <w:pStyle w:val="Normal"/>
              <w:jc w:val="center"/>
              <w:rPr>
                <w:rFonts w:ascii="Times New Roman" w:hAnsi="Times New Roman" w:eastAsia="Times New Roman" w:cs="Times New Roman"/>
                <w:b w:val="1"/>
                <w:bCs w:val="1"/>
              </w:rPr>
            </w:pPr>
            <w:r w:rsidRPr="24215121" w:rsidR="72637787">
              <w:rPr>
                <w:rFonts w:ascii="Times New Roman" w:hAnsi="Times New Roman" w:eastAsia="Times New Roman" w:cs="Times New Roman"/>
                <w:b w:val="1"/>
                <w:bCs w:val="1"/>
              </w:rPr>
              <w:t>REVIEWER 1</w:t>
            </w:r>
          </w:p>
        </w:tc>
      </w:tr>
      <w:tr w:rsidR="5AEE1965" w:rsidTr="25BF6034" w14:paraId="7143E896">
        <w:trPr>
          <w:trHeight w:val="300"/>
        </w:trPr>
        <w:tc>
          <w:tcPr>
            <w:tcW w:w="4905" w:type="dxa"/>
            <w:tcMar/>
          </w:tcPr>
          <w:p w:rsidR="5AEE1965" w:rsidP="5AEE1965" w:rsidRDefault="5AEE1965" w14:paraId="4A9CE71F" w14:textId="3914C89F">
            <w:pPr>
              <w:pStyle w:val="Normal"/>
            </w:pPr>
            <w:r w:rsidRPr="24215121" w:rsidR="51B6F419">
              <w:rPr>
                <w:rFonts w:ascii="Times New Roman" w:hAnsi="Times New Roman" w:eastAsia="Times New Roman" w:cs="Times New Roman"/>
                <w:b w:val="0"/>
                <w:bCs w:val="0"/>
                <w:i w:val="0"/>
                <w:iCs w:val="0"/>
                <w:caps w:val="0"/>
                <w:smallCaps w:val="0"/>
                <w:noProof w:val="0"/>
                <w:color w:val="333333"/>
                <w:sz w:val="24"/>
                <w:szCs w:val="24"/>
                <w:lang w:val="en-US"/>
              </w:rPr>
              <w:t>This manuscript offers a timely and insightful examination of data parties as a mechanism for advancing participatory processes in evaluation methodology. It contributes significantly to understanding relational approaches to engagement within the field. The cross-case research design, drawing on experiences from three educational evaluations in Canada, provides a rich empirical basis for its claims. The authors’ collaborative autoethnographic approach, where they serve as both contributors and investigators, adds a valuable layer of reflexivity to the study.</w:t>
            </w:r>
          </w:p>
        </w:tc>
        <w:tc>
          <w:tcPr>
            <w:tcW w:w="5895" w:type="dxa"/>
            <w:tcMar/>
          </w:tcPr>
          <w:p w:rsidR="5AEE1965" w:rsidP="24215121" w:rsidRDefault="5AEE1965" w14:paraId="58B70347" w14:textId="09CBC442">
            <w:pPr>
              <w:pStyle w:val="Normal"/>
              <w:suppressLineNumbers w:val="0"/>
              <w:bidi w:val="0"/>
              <w:spacing w:before="0" w:beforeAutospacing="off" w:after="0" w:afterAutospacing="off" w:line="240" w:lineRule="auto"/>
              <w:ind w:left="0" w:right="0"/>
              <w:jc w:val="left"/>
            </w:pPr>
            <w:r w:rsidRPr="24215121" w:rsidR="45108BC2">
              <w:rPr>
                <w:rFonts w:ascii="Times New Roman" w:hAnsi="Times New Roman" w:eastAsia="Times New Roman" w:cs="Times New Roman"/>
              </w:rPr>
              <w:t>N/A.</w:t>
            </w:r>
          </w:p>
        </w:tc>
      </w:tr>
      <w:tr w:rsidR="5AEE1965" w:rsidTr="25BF6034" w14:paraId="67A2B361">
        <w:trPr>
          <w:trHeight w:val="300"/>
        </w:trPr>
        <w:tc>
          <w:tcPr>
            <w:tcW w:w="4905" w:type="dxa"/>
            <w:tcMar/>
          </w:tcPr>
          <w:p w:rsidR="5AEE1965" w:rsidP="5AEE1965" w:rsidRDefault="5AEE1965" w14:paraId="638F74E3" w14:textId="7D6055C7">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Context: The paper effectively situates data parties within the broader landscape of contemporary evaluation, emphasizing the field’s evolution from traditional models to more “people-centred, context-aware, and learning orientated evaluations”. It highlights the “renewed focus on evaluation use” and the need for methodological innovations to respond to shifting program, policy, and societal contexts. The definition of a data party is clear and concise: “A data party is an interactive, time-limited event that brings together a range of interest-holders – such as program champions, designers, staff, participants, and community members – to collectively engage with and interpret data”. The authors’ adoption of “interest-holder” as a “deliberately inclusive alternative to stakeholder” also demonstrates a commitment to participatory values.</w:t>
            </w:r>
          </w:p>
        </w:tc>
        <w:tc>
          <w:tcPr>
            <w:tcW w:w="5895" w:type="dxa"/>
            <w:tcMar/>
          </w:tcPr>
          <w:p w:rsidR="5AEE1965" w:rsidP="24215121" w:rsidRDefault="5AEE1965" w14:paraId="4350E3A6" w14:noSpellErr="1" w14:textId="6295ED2D">
            <w:pPr>
              <w:pStyle w:val="Normal"/>
              <w:rPr>
                <w:rFonts w:ascii="Times New Roman" w:hAnsi="Times New Roman" w:eastAsia="Times New Roman" w:cs="Times New Roman"/>
              </w:rPr>
            </w:pPr>
            <w:r w:rsidRPr="24215121" w:rsidR="05D17B12">
              <w:rPr>
                <w:rFonts w:ascii="Times New Roman" w:hAnsi="Times New Roman" w:eastAsia="Times New Roman" w:cs="Times New Roman"/>
              </w:rPr>
              <w:t>N/A.</w:t>
            </w:r>
          </w:p>
        </w:tc>
      </w:tr>
      <w:tr w:rsidR="5AEE1965" w:rsidTr="25BF6034" w14:paraId="0F199534">
        <w:trPr>
          <w:trHeight w:val="300"/>
        </w:trPr>
        <w:tc>
          <w:tcPr>
            <w:tcW w:w="4905" w:type="dxa"/>
            <w:tcMar/>
          </w:tcPr>
          <w:p w:rsidR="5AEE1965" w:rsidP="5AEE1965" w:rsidRDefault="5AEE1965" w14:paraId="5556C2E3" w14:textId="11130E2F">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Literature Review: The conceptual foundation for the study is robust, outlining a multitude of evaluation approaches such as participatory, empowerment, utilization-focused, developmental, culturally responsive, collaborative, and transformative evaluation. This comprehensive overview successfully establishes that these approaches “collectively recognize that evaluation is meaningful when centering and reflecting the insights of those most intimately connected to the programs”. The strong link between data parties and Collaborative Approaches to Evaluation (CAE) is particularly well-articulated, noting that “Hosting data parties reflects the ethos of Collaborative Approaches to Evaluation (CAE), which emphasizes shared knowledge development between evaluators and stakeholders through participatory, relationship-centered practices”.</w:t>
            </w:r>
          </w:p>
        </w:tc>
        <w:tc>
          <w:tcPr>
            <w:tcW w:w="5895" w:type="dxa"/>
            <w:tcMar/>
          </w:tcPr>
          <w:p w:rsidR="5AEE1965" w:rsidP="24215121" w:rsidRDefault="5AEE1965" w14:paraId="356CD447" w14:noSpellErr="1" w14:textId="288C0B54">
            <w:pPr>
              <w:pStyle w:val="Normal"/>
              <w:rPr>
                <w:rFonts w:ascii="Times New Roman" w:hAnsi="Times New Roman" w:eastAsia="Times New Roman" w:cs="Times New Roman"/>
              </w:rPr>
            </w:pPr>
            <w:r w:rsidRPr="24215121" w:rsidR="05D17B12">
              <w:rPr>
                <w:rFonts w:ascii="Times New Roman" w:hAnsi="Times New Roman" w:eastAsia="Times New Roman" w:cs="Times New Roman"/>
              </w:rPr>
              <w:t>N/A.</w:t>
            </w:r>
          </w:p>
        </w:tc>
      </w:tr>
      <w:tr w:rsidR="5AEE1965" w:rsidTr="25BF6034" w14:paraId="306921B2">
        <w:trPr>
          <w:trHeight w:val="300"/>
        </w:trPr>
        <w:tc>
          <w:tcPr>
            <w:tcW w:w="4905" w:type="dxa"/>
            <w:tcMar/>
          </w:tcPr>
          <w:p w:rsidR="5AEE1965" w:rsidP="5AEE1965" w:rsidRDefault="5AEE1965" w14:paraId="512ED862" w14:textId="4042D21F">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Methods: The methodology is described as “multifaceted”, aligning with pragmatic and critical postpositivist perspectives, and evolving from a descriptive case study to one that embraces “collaborative ecologies” and “active meaning-making through dialogue and artefact review”. This transparency about the methodological journey is commendable. The detailed “Overview of Data Sources Across Cases” in Table 1, including presentation slides, speaker notes, process notes, and both researcher and participant reflection notes, offers a strong foundation for the analysis. The authors’ acknowledgment that all data parties took place virtually due to the pandemic, utilizing various online engagement tools, provides crucial contextual detail. Case 3’s rigorous approach to establishing intercoder reliability (ICR) using blind coding and a random number generator for data selection stands out as a particular strength in ensuring the trustworthiness of qualitative findings.</w:t>
            </w:r>
          </w:p>
        </w:tc>
        <w:tc>
          <w:tcPr>
            <w:tcW w:w="5895" w:type="dxa"/>
            <w:tcMar/>
          </w:tcPr>
          <w:p w:rsidR="5AEE1965" w:rsidP="24215121" w:rsidRDefault="5AEE1965" w14:paraId="3E8901B6" w14:noSpellErr="1" w14:textId="144C68BD">
            <w:pPr>
              <w:pStyle w:val="Normal"/>
              <w:rPr>
                <w:rFonts w:ascii="Times New Roman" w:hAnsi="Times New Roman" w:eastAsia="Times New Roman" w:cs="Times New Roman"/>
              </w:rPr>
            </w:pPr>
            <w:r w:rsidRPr="24215121" w:rsidR="05D17B12">
              <w:rPr>
                <w:rFonts w:ascii="Times New Roman" w:hAnsi="Times New Roman" w:eastAsia="Times New Roman" w:cs="Times New Roman"/>
              </w:rPr>
              <w:t>N/A.</w:t>
            </w:r>
          </w:p>
        </w:tc>
      </w:tr>
      <w:tr w:rsidR="5AEE1965" w:rsidTr="25BF6034" w14:paraId="74389496">
        <w:trPr>
          <w:trHeight w:val="300"/>
        </w:trPr>
        <w:tc>
          <w:tcPr>
            <w:tcW w:w="4905" w:type="dxa"/>
            <w:tcMar/>
          </w:tcPr>
          <w:p w:rsidR="5AEE1965" w:rsidP="5AEE1965" w:rsidRDefault="5AEE1965" w14:paraId="359F0DB5" w14:textId="2236BEE8">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Findings: The paper effectively distills its cross-case reflections into three key themes: (1) prioritizing relationships, (2) putting CAE principles into practice, and (3) structuring data for collaborative engagement". The emphasis on relationships is particularly compelling, supported by examples from Case 1 (developing trust with students) and Case 3 (fostering community among new graduate students). The insight that “Building trust, showing care, and maintaining open communication are foundational to meaningful collaboration” is a critical takeaway. The discussion of CAE principles in practice highlights the adaptability required, exemplified by Case 2’s “real-time rearranging of agendas in response to emerging interest-holder interests and questions”, demonstrating that “Such ongoing communication and flexibility are essential in bringing a CAE to life”.</w:t>
            </w:r>
          </w:p>
        </w:tc>
        <w:tc>
          <w:tcPr>
            <w:tcW w:w="5895" w:type="dxa"/>
            <w:tcMar/>
          </w:tcPr>
          <w:p w:rsidR="5AEE1965" w:rsidP="24215121" w:rsidRDefault="5AEE1965" w14:paraId="6ED6B5CB" w14:noSpellErr="1" w14:textId="260CAE36">
            <w:pPr>
              <w:pStyle w:val="Normal"/>
              <w:rPr>
                <w:rFonts w:ascii="Times New Roman" w:hAnsi="Times New Roman" w:eastAsia="Times New Roman" w:cs="Times New Roman"/>
              </w:rPr>
            </w:pPr>
            <w:r w:rsidRPr="24215121" w:rsidR="05D17B12">
              <w:rPr>
                <w:rFonts w:ascii="Times New Roman" w:hAnsi="Times New Roman" w:eastAsia="Times New Roman" w:cs="Times New Roman"/>
              </w:rPr>
              <w:t>N/A.</w:t>
            </w:r>
          </w:p>
        </w:tc>
      </w:tr>
      <w:tr w:rsidR="5AEE1965" w:rsidTr="25BF6034" w14:paraId="54812D21">
        <w:trPr>
          <w:trHeight w:val="3795"/>
        </w:trPr>
        <w:tc>
          <w:tcPr>
            <w:tcW w:w="4905" w:type="dxa"/>
            <w:tcMar/>
          </w:tcPr>
          <w:p w:rsidR="5AEE1965" w:rsidP="5AEE1965" w:rsidRDefault="5AEE1965" w14:paraId="0F874CAA" w14:textId="27538113">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Discussion: The discussion section synthesizes the findings, asserting that data parties are not “incidental add-ons” but require “strategic planning, clarity of purpose, and attention to context”. It successfully argues that the impact of data parties often “exceeded expectations,” becoming “much more: spaces for reflection, relationship-building, and shared learning”. The authors connect their findings to existing literature, demonstrating how data parties “help surface core issues… promote deeper thought and inquiry… support professional learning and skill development… and provide opportunities for reflective analysis”. A significant contribution is the argument that data parties shift evaluation from “extractive or hierarchical models” to one that cultivates “shared ownership of findings and promotes deeper engagement with the data”. The concluding “Insights and Advice for Data Parties as a Participatory Method” offers valuable practical guidance. The statement that “When thoughtfully designed, data parties facilitate joint analysis by enabling interest-holders to interpret data collectively, promote co-production by sharing power and integrating diverse perspectives, and enhance collaboration by building trust and shared ownership of evaluation outcomes” serves as an excellent summary of the paper’s core message.</w:t>
            </w:r>
          </w:p>
        </w:tc>
        <w:tc>
          <w:tcPr>
            <w:tcW w:w="5895" w:type="dxa"/>
            <w:tcMar/>
          </w:tcPr>
          <w:p w:rsidR="5AEE1965" w:rsidP="24215121" w:rsidRDefault="5AEE1965" w14:paraId="7EF0973F" w14:textId="2717DA2B" w14:noSpellErr="1">
            <w:pPr>
              <w:pStyle w:val="Normal"/>
              <w:rPr>
                <w:rFonts w:ascii="Times New Roman" w:hAnsi="Times New Roman" w:eastAsia="Times New Roman" w:cs="Times New Roman"/>
              </w:rPr>
            </w:pPr>
            <w:r w:rsidRPr="6A24B2B6" w:rsidR="05D17B12">
              <w:rPr>
                <w:rFonts w:ascii="Times New Roman" w:hAnsi="Times New Roman" w:eastAsia="Times New Roman" w:cs="Times New Roman"/>
              </w:rPr>
              <w:t>N/A.</w:t>
            </w:r>
          </w:p>
        </w:tc>
      </w:tr>
      <w:tr w:rsidR="5AEE1965" w:rsidTr="25BF6034" w14:paraId="1C9BD679">
        <w:trPr>
          <w:trHeight w:val="7425"/>
        </w:trPr>
        <w:tc>
          <w:tcPr>
            <w:tcW w:w="4905" w:type="dxa"/>
            <w:tcMar/>
          </w:tcPr>
          <w:p w:rsidR="5AEE1965" w:rsidP="5AEE1965" w:rsidRDefault="5AEE1965" w14:paraId="06387AEF" w14:textId="7F76AD67">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Methods (Figure Details): While the paper mentions Figure 1 (“Participatory Data Parties Across Three Case Contexts”) and Figure 2 (“Collaborative Qualitative Approach to Analysis”), </w:t>
            </w:r>
            <w:r w:rsidRPr="24215121" w:rsidR="77F3117D">
              <w:rPr>
                <w:rFonts w:ascii="Times New Roman" w:hAnsi="Times New Roman" w:eastAsia="Times New Roman" w:cs="Times New Roman"/>
                <w:b w:val="0"/>
                <w:bCs w:val="0"/>
                <w:i w:val="0"/>
                <w:iCs w:val="0"/>
                <w:caps w:val="0"/>
                <w:smallCaps w:val="0"/>
                <w:noProof w:val="0"/>
                <w:color w:val="333333"/>
                <w:sz w:val="24"/>
                <w:szCs w:val="24"/>
                <w:highlight w:val="yellow"/>
                <w:lang w:val="en-US"/>
              </w:rPr>
              <w:t>the specific content or steps within these figures are not fully elaborated in the accompanying text.</w:t>
            </w: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For a reader without visual access to these figures, </w:t>
            </w:r>
            <w:r w:rsidRPr="24215121" w:rsidR="77F3117D">
              <w:rPr>
                <w:rFonts w:ascii="Times New Roman" w:hAnsi="Times New Roman" w:eastAsia="Times New Roman" w:cs="Times New Roman"/>
                <w:b w:val="0"/>
                <w:bCs w:val="0"/>
                <w:i w:val="0"/>
                <w:iCs w:val="0"/>
                <w:caps w:val="0"/>
                <w:smallCaps w:val="0"/>
                <w:noProof w:val="0"/>
                <w:color w:val="333333"/>
                <w:sz w:val="24"/>
                <w:szCs w:val="24"/>
                <w:highlight w:val="yellow"/>
                <w:lang w:val="en-US"/>
              </w:rPr>
              <w:t xml:space="preserve">a more explicit textual description of what they entail would enhance comprehension of the </w:t>
            </w:r>
            <w:r w:rsidRPr="24215121" w:rsidR="77F3117D">
              <w:rPr>
                <w:rFonts w:ascii="Times New Roman" w:hAnsi="Times New Roman" w:eastAsia="Times New Roman" w:cs="Times New Roman"/>
                <w:b w:val="0"/>
                <w:bCs w:val="0"/>
                <w:i w:val="0"/>
                <w:iCs w:val="0"/>
                <w:caps w:val="0"/>
                <w:smallCaps w:val="0"/>
                <w:noProof w:val="0"/>
                <w:color w:val="333333"/>
                <w:sz w:val="24"/>
                <w:szCs w:val="24"/>
                <w:highlight w:val="yellow"/>
                <w:lang w:val="en-US"/>
              </w:rPr>
              <w:t>methodology</w:t>
            </w:r>
            <w:r w:rsidRPr="24215121" w:rsidR="77F3117D">
              <w:rPr>
                <w:rFonts w:ascii="Times New Roman" w:hAnsi="Times New Roman" w:eastAsia="Times New Roman" w:cs="Times New Roman"/>
                <w:b w:val="0"/>
                <w:bCs w:val="0"/>
                <w:i w:val="0"/>
                <w:iCs w:val="0"/>
                <w:caps w:val="0"/>
                <w:smallCaps w:val="0"/>
                <w:noProof w:val="0"/>
                <w:color w:val="333333"/>
                <w:sz w:val="24"/>
                <w:szCs w:val="24"/>
                <w:highlight w:val="yellow"/>
                <w:lang w:val="en-US"/>
              </w:rPr>
              <w:t>, particularly the “six-step process” for analysis.</w:t>
            </w:r>
          </w:p>
        </w:tc>
        <w:tc>
          <w:tcPr>
            <w:tcW w:w="5895" w:type="dxa"/>
            <w:tcMar/>
          </w:tcPr>
          <w:p w:rsidR="5AEE1965" w:rsidP="6A24B2B6" w:rsidRDefault="5AEE1965" w14:paraId="33733E8D" w14:textId="0D7DA2AF">
            <w:pPr>
              <w:pStyle w:val="Normal"/>
              <w:rPr>
                <w:rFonts w:ascii="Times New Roman" w:hAnsi="Times New Roman" w:eastAsia="Times New Roman" w:cs="Times New Roman"/>
              </w:rPr>
            </w:pPr>
            <w:r w:rsidRPr="25BF6034" w:rsidR="610C12B0">
              <w:rPr>
                <w:rFonts w:ascii="Times New Roman" w:hAnsi="Times New Roman" w:eastAsia="Times New Roman" w:cs="Times New Roman"/>
              </w:rPr>
              <w:t xml:space="preserve">Thank you for the feedback on our figures. </w:t>
            </w:r>
            <w:r w:rsidRPr="25BF6034" w:rsidR="522597C8">
              <w:rPr>
                <w:rFonts w:ascii="Times New Roman" w:hAnsi="Times New Roman" w:eastAsia="Times New Roman" w:cs="Times New Roman"/>
              </w:rPr>
              <w:t xml:space="preserve">In response, we added clarifying text in the manuscript that explains the content of Figure 1, including a brief description of each case context and the facilitation structure across the cases. Specifically, the </w:t>
            </w:r>
            <w:r w:rsidRPr="25BF6034" w:rsidR="522597C8">
              <w:rPr>
                <w:rFonts w:ascii="Times New Roman" w:hAnsi="Times New Roman" w:eastAsia="Times New Roman" w:cs="Times New Roman"/>
              </w:rPr>
              <w:t>follo</w:t>
            </w:r>
            <w:r w:rsidRPr="25BF6034" w:rsidR="522597C8">
              <w:rPr>
                <w:rFonts w:ascii="Times New Roman" w:hAnsi="Times New Roman" w:eastAsia="Times New Roman" w:cs="Times New Roman"/>
              </w:rPr>
              <w:t>wing text was added before the figure:</w:t>
            </w:r>
          </w:p>
          <w:p w:rsidR="25BF6034" w:rsidP="25BF6034" w:rsidRDefault="25BF6034" w14:paraId="0F995697" w14:textId="5F60A50E">
            <w:pPr>
              <w:pStyle w:val="Normal"/>
              <w:rPr>
                <w:rFonts w:ascii="Times New Roman" w:hAnsi="Times New Roman" w:eastAsia="Times New Roman" w:cs="Times New Roman"/>
              </w:rPr>
            </w:pPr>
          </w:p>
          <w:p w:rsidR="5AEE1965" w:rsidP="6A24B2B6" w:rsidRDefault="5AEE1965" w14:paraId="361C423F" w14:textId="6FC092A0">
            <w:pPr>
              <w:pStyle w:val="Normal"/>
              <w:ind w:left="720"/>
              <w:rPr>
                <w:rFonts w:ascii="Times New Roman" w:hAnsi="Times New Roman" w:eastAsia="Times New Roman" w:cs="Times New Roman"/>
              </w:rPr>
            </w:pPr>
            <w:r w:rsidRPr="6A24B2B6" w:rsidR="522597C8">
              <w:rPr>
                <w:rFonts w:ascii="Times New Roman" w:hAnsi="Times New Roman" w:eastAsia="Times New Roman" w:cs="Times New Roman"/>
              </w:rPr>
              <w:t xml:space="preserve">Figure 1 illustrates how we conceptualized data parties as participatory approaches to collaboration across three distinct case contexts. Case 1, a youth-engaged mental health project, was </w:t>
            </w:r>
            <w:r w:rsidRPr="6A24B2B6" w:rsidR="522597C8">
              <w:rPr>
                <w:rFonts w:ascii="Times New Roman" w:hAnsi="Times New Roman" w:eastAsia="Times New Roman" w:cs="Times New Roman"/>
              </w:rPr>
              <w:t>facilitated</w:t>
            </w:r>
            <w:r w:rsidRPr="6A24B2B6" w:rsidR="522597C8">
              <w:rPr>
                <w:rFonts w:ascii="Times New Roman" w:hAnsi="Times New Roman" w:eastAsia="Times New Roman" w:cs="Times New Roman"/>
              </w:rPr>
              <w:t xml:space="preserve"> by two authors, while Cases 2 and 3, which involved a community-engaged higher education initiative and a study of K–12 teacher assessment identity with technology, were </w:t>
            </w:r>
            <w:r w:rsidRPr="6A24B2B6" w:rsidR="522597C8">
              <w:rPr>
                <w:rFonts w:ascii="Times New Roman" w:hAnsi="Times New Roman" w:eastAsia="Times New Roman" w:cs="Times New Roman"/>
              </w:rPr>
              <w:t>facilitated</w:t>
            </w:r>
            <w:r w:rsidRPr="6A24B2B6" w:rsidR="522597C8">
              <w:rPr>
                <w:rFonts w:ascii="Times New Roman" w:hAnsi="Times New Roman" w:eastAsia="Times New Roman" w:cs="Times New Roman"/>
              </w:rPr>
              <w:t xml:space="preserve"> by three authors. Together, these cases show how data parties supported collaborative sensemaking across varied evaluative and research settings.</w:t>
            </w:r>
          </w:p>
          <w:p w:rsidR="5AEE1965" w:rsidP="6A24B2B6" w:rsidRDefault="5AEE1965" w14:paraId="27938522" w14:textId="41390633">
            <w:pPr>
              <w:pStyle w:val="Normal"/>
              <w:rPr>
                <w:rFonts w:ascii="Times New Roman" w:hAnsi="Times New Roman" w:eastAsia="Times New Roman" w:cs="Times New Roman"/>
              </w:rPr>
            </w:pPr>
          </w:p>
          <w:p w:rsidR="5AEE1965" w:rsidP="6A24B2B6" w:rsidRDefault="5AEE1965" w14:paraId="1E7EB4CE" w14:textId="05BD1299">
            <w:pPr>
              <w:pStyle w:val="Normal"/>
              <w:rPr>
                <w:rFonts w:ascii="Times New Roman" w:hAnsi="Times New Roman" w:eastAsia="Times New Roman" w:cs="Times New Roman"/>
              </w:rPr>
            </w:pPr>
            <w:r w:rsidRPr="25BF6034" w:rsidR="522597C8">
              <w:rPr>
                <w:rFonts w:ascii="Times New Roman" w:hAnsi="Times New Roman" w:eastAsia="Times New Roman" w:cs="Times New Roman"/>
              </w:rPr>
              <w:t>We</w:t>
            </w:r>
            <w:r w:rsidRPr="25BF6034" w:rsidR="610C12B0">
              <w:rPr>
                <w:rFonts w:ascii="Times New Roman" w:hAnsi="Times New Roman" w:eastAsia="Times New Roman" w:cs="Times New Roman"/>
              </w:rPr>
              <w:t xml:space="preserve"> </w:t>
            </w:r>
            <w:r w:rsidRPr="25BF6034" w:rsidR="77DE7411">
              <w:rPr>
                <w:rFonts w:ascii="Times New Roman" w:hAnsi="Times New Roman" w:eastAsia="Times New Roman" w:cs="Times New Roman"/>
              </w:rPr>
              <w:t>also</w:t>
            </w:r>
            <w:r w:rsidRPr="25BF6034" w:rsidR="610C12B0">
              <w:rPr>
                <w:rFonts w:ascii="Times New Roman" w:hAnsi="Times New Roman" w:eastAsia="Times New Roman" w:cs="Times New Roman"/>
              </w:rPr>
              <w:t xml:space="preserve"> revised Figure 2 by co</w:t>
            </w:r>
            <w:r w:rsidRPr="25BF6034" w:rsidR="610C12B0">
              <w:rPr>
                <w:rFonts w:ascii="Times New Roman" w:hAnsi="Times New Roman" w:eastAsia="Times New Roman" w:cs="Times New Roman"/>
              </w:rPr>
              <w:t xml:space="preserve">nverting it into a table format to make the six-step analytic process easier to read and more accessible. We added explicit descriptions of all six steps directly in the </w:t>
            </w:r>
            <w:r w:rsidRPr="25BF6034" w:rsidR="65270897">
              <w:rPr>
                <w:rFonts w:ascii="Times New Roman" w:hAnsi="Times New Roman" w:eastAsia="Times New Roman" w:cs="Times New Roman"/>
              </w:rPr>
              <w:t xml:space="preserve">Data Analysis </w:t>
            </w:r>
            <w:r w:rsidRPr="25BF6034" w:rsidR="610C12B0">
              <w:rPr>
                <w:rFonts w:ascii="Times New Roman" w:hAnsi="Times New Roman" w:eastAsia="Times New Roman" w:cs="Times New Roman"/>
              </w:rPr>
              <w:t>section so that readers without visual access to the table can fully understand the analytic procedures.</w:t>
            </w:r>
          </w:p>
        </w:tc>
      </w:tr>
      <w:tr w:rsidR="24215121" w:rsidTr="25BF6034" w14:paraId="4A856169">
        <w:trPr>
          <w:trHeight w:val="300"/>
        </w:trPr>
        <w:tc>
          <w:tcPr>
            <w:tcW w:w="4905" w:type="dxa"/>
            <w:tcMar/>
          </w:tcPr>
          <w:p w:rsidR="77F3117D" w:rsidP="24215121" w:rsidRDefault="77F3117D" w14:paraId="101386D0" w14:textId="08A3D106">
            <w:pPr>
              <w:pStyle w:val="Normal"/>
            </w:pP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Findings (Theoretical Linkage): While the findings clearly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demonstrate</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how data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parties</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function effectively in practice, t</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he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direct contribution to advancing evaluation theory could be articulated more explicitly.</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The findings primarily highlight the operational and relational benefits within existing participatory frameworks.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A few more sentences of deeper reflection on how data parties might challenge, refine, or extend current theoretical understandings of participation, sensemaking, or collaborative evaluation could strengthen this aspect.</w:t>
            </w:r>
          </w:p>
        </w:tc>
        <w:tc>
          <w:tcPr>
            <w:tcW w:w="5895" w:type="dxa"/>
            <w:tcMar/>
          </w:tcPr>
          <w:p w:rsidR="24215121" w:rsidP="6A24B2B6" w:rsidRDefault="24215121" w14:paraId="0E9F80F1" w14:textId="38904EA0">
            <w:pPr>
              <w:pStyle w:val="Normal"/>
              <w:rPr>
                <w:rFonts w:ascii="Times New Roman" w:hAnsi="Times New Roman" w:eastAsia="Times New Roman" w:cs="Times New Roman"/>
                <w:highlight w:val="magenta"/>
              </w:rPr>
            </w:pPr>
            <w:r w:rsidRPr="25BF6034" w:rsidR="60B8ACDD">
              <w:rPr>
                <w:rFonts w:ascii="Times New Roman" w:hAnsi="Times New Roman" w:eastAsia="Times New Roman" w:cs="Times New Roman"/>
              </w:rPr>
              <w:t xml:space="preserve">We appreciate the suggestion </w:t>
            </w:r>
            <w:r w:rsidRPr="25BF6034" w:rsidR="60B8ACDD">
              <w:rPr>
                <w:rFonts w:ascii="Times New Roman" w:hAnsi="Times New Roman" w:eastAsia="Times New Roman" w:cs="Times New Roman"/>
              </w:rPr>
              <w:t>regarding</w:t>
            </w:r>
            <w:r w:rsidRPr="25BF6034" w:rsidR="60B8ACDD">
              <w:rPr>
                <w:rFonts w:ascii="Times New Roman" w:hAnsi="Times New Roman" w:eastAsia="Times New Roman" w:cs="Times New Roman"/>
              </w:rPr>
              <w:t xml:space="preserve"> the theoretical contribution of our findings and agree </w:t>
            </w:r>
            <w:r w:rsidRPr="25BF6034" w:rsidR="60B8ACDD">
              <w:rPr>
                <w:rFonts w:ascii="Times New Roman" w:hAnsi="Times New Roman" w:eastAsia="Times New Roman" w:cs="Times New Roman"/>
              </w:rPr>
              <w:t>it's</w:t>
            </w:r>
            <w:r w:rsidRPr="25BF6034" w:rsidR="60B8ACDD">
              <w:rPr>
                <w:rFonts w:ascii="Times New Roman" w:hAnsi="Times New Roman" w:eastAsia="Times New Roman" w:cs="Times New Roman"/>
              </w:rPr>
              <w:t xml:space="preserve"> important to </w:t>
            </w:r>
            <w:r w:rsidRPr="25BF6034" w:rsidR="1DD43C39">
              <w:rPr>
                <w:rFonts w:ascii="Times New Roman" w:hAnsi="Times New Roman" w:eastAsia="Times New Roman" w:cs="Times New Roman"/>
              </w:rPr>
              <w:t>make it</w:t>
            </w:r>
            <w:r w:rsidRPr="25BF6034" w:rsidR="60B8ACDD">
              <w:rPr>
                <w:rFonts w:ascii="Times New Roman" w:hAnsi="Times New Roman" w:eastAsia="Times New Roman" w:cs="Times New Roman"/>
              </w:rPr>
              <w:t xml:space="preserve"> </w:t>
            </w:r>
            <w:r w:rsidRPr="25BF6034" w:rsidR="60B8ACDD">
              <w:rPr>
                <w:rFonts w:ascii="Times New Roman" w:hAnsi="Times New Roman" w:eastAsia="Times New Roman" w:cs="Times New Roman"/>
              </w:rPr>
              <w:t>clear</w:t>
            </w:r>
            <w:r w:rsidRPr="25BF6034" w:rsidR="74C92088">
              <w:rPr>
                <w:rFonts w:ascii="Times New Roman" w:hAnsi="Times New Roman" w:eastAsia="Times New Roman" w:cs="Times New Roman"/>
              </w:rPr>
              <w:t>er</w:t>
            </w:r>
            <w:r w:rsidRPr="25BF6034" w:rsidR="60B8ACDD">
              <w:rPr>
                <w:rFonts w:ascii="Times New Roman" w:hAnsi="Times New Roman" w:eastAsia="Times New Roman" w:cs="Times New Roman"/>
              </w:rPr>
              <w:t xml:space="preserve">. In response, we added explicit statements that articulate how data parties refine and extend participatory evaluation theory. </w:t>
            </w:r>
          </w:p>
          <w:p w:rsidR="24215121" w:rsidP="6A24B2B6" w:rsidRDefault="24215121" w14:paraId="38073651" w14:textId="15C4C6B6">
            <w:pPr>
              <w:pStyle w:val="Normal"/>
              <w:rPr>
                <w:rFonts w:ascii="Times New Roman" w:hAnsi="Times New Roman" w:eastAsia="Times New Roman" w:cs="Times New Roman"/>
              </w:rPr>
            </w:pPr>
            <w:commentRangeStart w:id="816426183"/>
            <w:commentRangeStart w:id="182998590"/>
            <w:commentRangeEnd w:id="816426183"/>
            <w:r>
              <w:rPr>
                <w:rStyle w:val="CommentReference"/>
              </w:rPr>
              <w:commentReference w:id="816426183"/>
            </w:r>
            <w:commentRangeEnd w:id="182998590"/>
            <w:r>
              <w:rPr>
                <w:rStyle w:val="CommentReference"/>
              </w:rPr>
              <w:commentReference w:id="182998590"/>
            </w:r>
          </w:p>
          <w:p w:rsidR="24215121" w:rsidP="6A24B2B6" w:rsidRDefault="24215121" w14:paraId="2CE62A6D" w14:textId="41CF7F1B">
            <w:pPr>
              <w:pStyle w:val="Normal"/>
              <w:rPr>
                <w:rFonts w:ascii="Times New Roman" w:hAnsi="Times New Roman" w:eastAsia="Times New Roman" w:cs="Times New Roman"/>
              </w:rPr>
            </w:pPr>
            <w:r w:rsidRPr="25BF6034" w:rsidR="6CEBA80B">
              <w:rPr>
                <w:rFonts w:ascii="Times New Roman" w:hAnsi="Times New Roman" w:eastAsia="Times New Roman" w:cs="Times New Roman"/>
              </w:rPr>
              <w:t xml:space="preserve">In “Making Sense through Cross-Case Reflections,” the following text was added to the end of the first paragraph: </w:t>
            </w:r>
          </w:p>
          <w:p w:rsidR="25BF6034" w:rsidP="25BF6034" w:rsidRDefault="25BF6034" w14:paraId="14E8111F" w14:textId="2A441402">
            <w:pPr>
              <w:pStyle w:val="Normal"/>
              <w:rPr>
                <w:rFonts w:ascii="Times New Roman" w:hAnsi="Times New Roman" w:eastAsia="Times New Roman" w:cs="Times New Roman"/>
              </w:rPr>
            </w:pPr>
          </w:p>
          <w:p w:rsidR="24215121" w:rsidP="6A24B2B6" w:rsidRDefault="24215121" w14:paraId="2A48AA88" w14:textId="24E723E8">
            <w:pPr>
              <w:pStyle w:val="Normal"/>
              <w:ind w:left="720"/>
              <w:rPr>
                <w:rFonts w:ascii="Times New Roman" w:hAnsi="Times New Roman" w:eastAsia="Times New Roman" w:cs="Times New Roman"/>
              </w:rPr>
            </w:pPr>
            <w:r w:rsidRPr="6A24B2B6" w:rsidR="6CEBA80B">
              <w:rPr>
                <w:rFonts w:ascii="Times New Roman" w:hAnsi="Times New Roman" w:eastAsia="Times New Roman" w:cs="Times New Roman"/>
              </w:rPr>
              <w:t>Across the cases, these patterns suggest that data parties offer a theoretically meaningful model of collaborative evaluation that repositions sensemaking as an ongoing relational process rather than a final analytic stage.</w:t>
            </w:r>
          </w:p>
          <w:p w:rsidR="24215121" w:rsidP="6A24B2B6" w:rsidRDefault="24215121" w14:paraId="7ADBE0D1" w14:textId="160AFB0F">
            <w:pPr>
              <w:pStyle w:val="Normal"/>
              <w:ind w:left="720"/>
              <w:rPr>
                <w:rFonts w:ascii="Times New Roman" w:hAnsi="Times New Roman" w:eastAsia="Times New Roman" w:cs="Times New Roman"/>
              </w:rPr>
            </w:pPr>
          </w:p>
          <w:p w:rsidR="24215121" w:rsidP="6A24B2B6" w:rsidRDefault="24215121" w14:paraId="14A738E5" w14:textId="0FDBD57E">
            <w:pPr>
              <w:pStyle w:val="Normal"/>
              <w:ind w:left="0"/>
              <w:rPr>
                <w:rFonts w:ascii="Times New Roman" w:hAnsi="Times New Roman" w:eastAsia="Times New Roman" w:cs="Times New Roman"/>
              </w:rPr>
            </w:pPr>
            <w:r w:rsidRPr="25BF6034" w:rsidR="1F0D7731">
              <w:rPr>
                <w:rFonts w:ascii="Times New Roman" w:hAnsi="Times New Roman" w:eastAsia="Times New Roman" w:cs="Times New Roman"/>
              </w:rPr>
              <w:t xml:space="preserve">The following text was also added to the “Looking ahead,” paragraph at the end of the Discussion section: </w:t>
            </w:r>
          </w:p>
          <w:p w:rsidR="25BF6034" w:rsidP="25BF6034" w:rsidRDefault="25BF6034" w14:paraId="1B8E46B8" w14:textId="1FCBE51D">
            <w:pPr>
              <w:pStyle w:val="Normal"/>
              <w:ind w:left="0"/>
              <w:rPr>
                <w:rFonts w:ascii="Times New Roman" w:hAnsi="Times New Roman" w:eastAsia="Times New Roman" w:cs="Times New Roman"/>
              </w:rPr>
            </w:pPr>
          </w:p>
          <w:p w:rsidR="24215121" w:rsidP="6A24B2B6" w:rsidRDefault="24215121" w14:paraId="10626562" w14:textId="5907D17E">
            <w:pPr>
              <w:pStyle w:val="Normal"/>
              <w:ind w:left="720"/>
              <w:rPr>
                <w:rFonts w:ascii="Times New Roman" w:hAnsi="Times New Roman" w:eastAsia="Times New Roman" w:cs="Times New Roman"/>
              </w:rPr>
            </w:pPr>
            <w:r w:rsidRPr="6A24B2B6" w:rsidR="1F0D7731">
              <w:rPr>
                <w:rFonts w:ascii="Times New Roman" w:hAnsi="Times New Roman" w:eastAsia="Times New Roman" w:cs="Times New Roman"/>
              </w:rPr>
              <w:t xml:space="preserve">These themes </w:t>
            </w:r>
            <w:r w:rsidRPr="6A24B2B6" w:rsidR="1F0D7731">
              <w:rPr>
                <w:rFonts w:ascii="Times New Roman" w:hAnsi="Times New Roman" w:eastAsia="Times New Roman" w:cs="Times New Roman"/>
              </w:rPr>
              <w:t>indicate</w:t>
            </w:r>
            <w:r w:rsidRPr="6A24B2B6" w:rsidR="1F0D7731">
              <w:rPr>
                <w:rFonts w:ascii="Times New Roman" w:hAnsi="Times New Roman" w:eastAsia="Times New Roman" w:cs="Times New Roman"/>
              </w:rPr>
              <w:t xml:space="preserve"> that data parties do more than support collaborative practice; they offer a theoretical contribution by showing how evaluative sensemaking can be structured as a shared, relational, and iterative process that challenges hierarchical assumptions embedded in many analytic traditions.</w:t>
            </w:r>
          </w:p>
        </w:tc>
      </w:tr>
      <w:tr w:rsidR="24215121" w:rsidTr="25BF6034" w14:paraId="329F0A6F">
        <w:trPr>
          <w:trHeight w:val="7785"/>
        </w:trPr>
        <w:tc>
          <w:tcPr>
            <w:tcW w:w="4905" w:type="dxa"/>
            <w:tcMar/>
          </w:tcPr>
          <w:p w:rsidR="77F3117D" w:rsidP="24215121" w:rsidRDefault="77F3117D" w14:paraId="6BFF4018" w14:textId="696A28B1">
            <w:pPr>
              <w:pStyle w:val="Normal"/>
            </w:pP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Discussion (Advice Elaboration): The “Recommendations to Strengthen Data-Party Value and Accessibility for Collaborative Learning” are referenced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as</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Figure 3</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Similar to</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the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method</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figures, the specific points or advice contained within Figure 3 are not fully detailed in the discussion text.</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Providing </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a brief summary</w:t>
            </w:r>
            <w:r w:rsidRPr="25BF6034" w:rsidR="77F3117D">
              <w:rPr>
                <w:rFonts w:ascii="Times New Roman" w:hAnsi="Times New Roman" w:eastAsia="Times New Roman" w:cs="Times New Roman"/>
                <w:b w:val="0"/>
                <w:bCs w:val="0"/>
                <w:i w:val="0"/>
                <w:iCs w:val="0"/>
                <w:caps w:val="0"/>
                <w:smallCaps w:val="0"/>
                <w:noProof w:val="0"/>
                <w:color w:val="333333"/>
                <w:sz w:val="24"/>
                <w:szCs w:val="24"/>
                <w:lang w:val="en-US"/>
              </w:rPr>
              <w:t xml:space="preserve"> of these recommendations in the narrative would ensure that this practical advice is accessible even without viewing the figure.</w:t>
            </w:r>
          </w:p>
        </w:tc>
        <w:tc>
          <w:tcPr>
            <w:tcW w:w="5895" w:type="dxa"/>
            <w:tcMar/>
          </w:tcPr>
          <w:p w:rsidR="24215121" w:rsidP="6A24B2B6" w:rsidRDefault="24215121" w14:paraId="00232FAE" w14:textId="23E06E7E">
            <w:pPr>
              <w:pStyle w:val="Normal"/>
              <w:rPr>
                <w:rFonts w:ascii="Times New Roman" w:hAnsi="Times New Roman" w:eastAsia="Times New Roman" w:cs="Times New Roman"/>
              </w:rPr>
            </w:pPr>
            <w:r w:rsidRPr="25BF6034" w:rsidR="6CD516AE">
              <w:rPr>
                <w:rFonts w:ascii="Times New Roman" w:hAnsi="Times New Roman" w:eastAsia="Times New Roman" w:cs="Times New Roman"/>
              </w:rPr>
              <w:t>Thank you</w:t>
            </w:r>
            <w:r w:rsidRPr="25BF6034" w:rsidR="066A6277">
              <w:rPr>
                <w:rFonts w:ascii="Times New Roman" w:hAnsi="Times New Roman" w:eastAsia="Times New Roman" w:cs="Times New Roman"/>
              </w:rPr>
              <w:t xml:space="preserve"> </w:t>
            </w:r>
            <w:r w:rsidRPr="25BF6034" w:rsidR="6CD516AE">
              <w:rPr>
                <w:rFonts w:ascii="Times New Roman" w:hAnsi="Times New Roman" w:eastAsia="Times New Roman" w:cs="Times New Roman"/>
              </w:rPr>
              <w:t xml:space="preserve">for this helpful suggestion. In response, we have revised the narrative </w:t>
            </w:r>
            <w:r w:rsidRPr="25BF6034" w:rsidR="6CD516AE">
              <w:rPr>
                <w:rFonts w:ascii="Times New Roman" w:hAnsi="Times New Roman" w:eastAsia="Times New Roman" w:cs="Times New Roman"/>
              </w:rPr>
              <w:t>accompanying</w:t>
            </w:r>
            <w:r w:rsidRPr="25BF6034" w:rsidR="6CD516AE">
              <w:rPr>
                <w:rFonts w:ascii="Times New Roman" w:hAnsi="Times New Roman" w:eastAsia="Times New Roman" w:cs="Times New Roman"/>
              </w:rPr>
              <w:t xml:space="preserve"> Figure 3 to provide a clearer summary of the recommendations </w:t>
            </w:r>
            <w:r w:rsidRPr="25BF6034" w:rsidR="6E0921DF">
              <w:rPr>
                <w:rFonts w:ascii="Times New Roman" w:hAnsi="Times New Roman" w:eastAsia="Times New Roman" w:cs="Times New Roman"/>
              </w:rPr>
              <w:t>depicted</w:t>
            </w:r>
            <w:r w:rsidRPr="25BF6034" w:rsidR="6CD516AE">
              <w:rPr>
                <w:rFonts w:ascii="Times New Roman" w:hAnsi="Times New Roman" w:eastAsia="Times New Roman" w:cs="Times New Roman"/>
              </w:rPr>
              <w:t xml:space="preserve"> in the f</w:t>
            </w:r>
            <w:r w:rsidRPr="25BF6034" w:rsidR="7548BB51">
              <w:rPr>
                <w:rFonts w:ascii="Times New Roman" w:hAnsi="Times New Roman" w:eastAsia="Times New Roman" w:cs="Times New Roman"/>
              </w:rPr>
              <w:t>ig</w:t>
            </w:r>
            <w:r w:rsidRPr="25BF6034" w:rsidR="6CD516AE">
              <w:rPr>
                <w:rFonts w:ascii="Times New Roman" w:hAnsi="Times New Roman" w:eastAsia="Times New Roman" w:cs="Times New Roman"/>
              </w:rPr>
              <w:t>ure. Specifically, the following text was added</w:t>
            </w:r>
            <w:r w:rsidRPr="25BF6034" w:rsidR="6CD516AE">
              <w:rPr>
                <w:rFonts w:ascii="Times New Roman" w:hAnsi="Times New Roman" w:eastAsia="Times New Roman" w:cs="Times New Roman"/>
              </w:rPr>
              <w:t>:</w:t>
            </w:r>
          </w:p>
          <w:p w:rsidR="25BF6034" w:rsidP="25BF6034" w:rsidRDefault="25BF6034" w14:paraId="268FD100" w14:textId="430A94E0">
            <w:pPr>
              <w:pStyle w:val="Normal"/>
              <w:rPr>
                <w:rFonts w:ascii="Times New Roman" w:hAnsi="Times New Roman" w:eastAsia="Times New Roman" w:cs="Times New Roman"/>
              </w:rPr>
            </w:pPr>
          </w:p>
          <w:p w:rsidR="24215121" w:rsidP="6A24B2B6" w:rsidRDefault="24215121" w14:paraId="52097852" w14:textId="3AAD65CB">
            <w:pPr>
              <w:pStyle w:val="Normal"/>
              <w:ind w:left="720"/>
              <w:rPr>
                <w:rFonts w:ascii="Times New Roman" w:hAnsi="Times New Roman" w:eastAsia="Times New Roman" w:cs="Times New Roman"/>
              </w:rPr>
            </w:pPr>
            <w:r w:rsidRPr="6A24B2B6" w:rsidR="757BEF96">
              <w:rPr>
                <w:rFonts w:ascii="Times New Roman" w:hAnsi="Times New Roman" w:eastAsia="Times New Roman" w:cs="Times New Roman"/>
              </w:rPr>
              <w:t xml:space="preserve">The figure highlights five practical, interconnected practices that strengthen data party implementation. The first, </w:t>
            </w:r>
            <w:r w:rsidRPr="6A24B2B6" w:rsidR="757BEF96">
              <w:rPr>
                <w:rFonts w:ascii="Times New Roman" w:hAnsi="Times New Roman" w:eastAsia="Times New Roman" w:cs="Times New Roman"/>
                <w:i w:val="1"/>
                <w:iCs w:val="1"/>
              </w:rPr>
              <w:t>Plan with Purpose</w:t>
            </w:r>
            <w:r w:rsidRPr="6A24B2B6" w:rsidR="757BEF96">
              <w:rPr>
                <w:rFonts w:ascii="Times New Roman" w:hAnsi="Times New Roman" w:eastAsia="Times New Roman" w:cs="Times New Roman"/>
              </w:rPr>
              <w:t>, involves structuring data in ways that support meaningful engagement and clear insights. The second,</w:t>
            </w:r>
            <w:r w:rsidRPr="6A24B2B6" w:rsidR="757BEF96">
              <w:rPr>
                <w:rFonts w:ascii="Times New Roman" w:hAnsi="Times New Roman" w:eastAsia="Times New Roman" w:cs="Times New Roman"/>
                <w:i w:val="1"/>
                <w:iCs w:val="1"/>
              </w:rPr>
              <w:t xml:space="preserve"> </w:t>
            </w:r>
            <w:r w:rsidRPr="6A24B2B6" w:rsidR="757BEF96">
              <w:rPr>
                <w:rFonts w:ascii="Times New Roman" w:hAnsi="Times New Roman" w:eastAsia="Times New Roman" w:cs="Times New Roman"/>
                <w:i w:val="1"/>
                <w:iCs w:val="1"/>
              </w:rPr>
              <w:t>Leveraging</w:t>
            </w:r>
            <w:r w:rsidRPr="6A24B2B6" w:rsidR="757BEF96">
              <w:rPr>
                <w:rFonts w:ascii="Times New Roman" w:hAnsi="Times New Roman" w:eastAsia="Times New Roman" w:cs="Times New Roman"/>
                <w:i w:val="1"/>
                <w:iCs w:val="1"/>
              </w:rPr>
              <w:t xml:space="preserve"> Diverse Perspectives</w:t>
            </w:r>
            <w:r w:rsidRPr="6A24B2B6" w:rsidR="757BEF96">
              <w:rPr>
                <w:rFonts w:ascii="Times New Roman" w:hAnsi="Times New Roman" w:eastAsia="Times New Roman" w:cs="Times New Roman"/>
              </w:rPr>
              <w:t>, emphasizes including a wide range of participants (including those often excluded from analysis) to enrich understanding and surface alternative explanations grounded in their diverse backgrounds and experiences. Third,</w:t>
            </w:r>
            <w:r w:rsidRPr="6A24B2B6" w:rsidR="757BEF96">
              <w:rPr>
                <w:rFonts w:ascii="Times New Roman" w:hAnsi="Times New Roman" w:eastAsia="Times New Roman" w:cs="Times New Roman"/>
                <w:i w:val="1"/>
                <w:iCs w:val="1"/>
              </w:rPr>
              <w:t xml:space="preserve"> Promote Engagement with Interactive Activities</w:t>
            </w:r>
            <w:r w:rsidRPr="6A24B2B6" w:rsidR="757BEF96">
              <w:rPr>
                <w:rFonts w:ascii="Times New Roman" w:hAnsi="Times New Roman" w:eastAsia="Times New Roman" w:cs="Times New Roman"/>
              </w:rPr>
              <w:t xml:space="preserve"> through hands-on or technology-supported strategies that encourage active participation and the practical application of insights. Fourth</w:t>
            </w:r>
            <w:r w:rsidRPr="6A24B2B6" w:rsidR="757BEF96">
              <w:rPr>
                <w:rFonts w:ascii="Times New Roman" w:hAnsi="Times New Roman" w:eastAsia="Times New Roman" w:cs="Times New Roman"/>
                <w:i w:val="1"/>
                <w:iCs w:val="1"/>
              </w:rPr>
              <w:t>, Make Data Accessible, Relatable, and Interactive</w:t>
            </w:r>
            <w:r w:rsidRPr="6A24B2B6" w:rsidR="757BEF96">
              <w:rPr>
                <w:rFonts w:ascii="Times New Roman" w:hAnsi="Times New Roman" w:eastAsia="Times New Roman" w:cs="Times New Roman"/>
              </w:rPr>
              <w:t xml:space="preserve"> by using clear visualizations, plain-language explanations, and adaptable facilitation approaches. Finally, </w:t>
            </w:r>
            <w:r w:rsidRPr="6A24B2B6" w:rsidR="757BEF96">
              <w:rPr>
                <w:rFonts w:ascii="Times New Roman" w:hAnsi="Times New Roman" w:eastAsia="Times New Roman" w:cs="Times New Roman"/>
                <w:i w:val="1"/>
                <w:iCs w:val="1"/>
              </w:rPr>
              <w:t>Reflect and Share Learning</w:t>
            </w:r>
            <w:r w:rsidRPr="6A24B2B6" w:rsidR="757BEF96">
              <w:rPr>
                <w:rFonts w:ascii="Times New Roman" w:hAnsi="Times New Roman" w:eastAsia="Times New Roman" w:cs="Times New Roman"/>
              </w:rPr>
              <w:t xml:space="preserve"> by inviting feedback on successes, areas for improvement, and future steps.</w:t>
            </w:r>
          </w:p>
        </w:tc>
      </w:tr>
      <w:tr w:rsidR="24215121" w:rsidTr="25BF6034" w14:paraId="4CB3E848">
        <w:trPr>
          <w:trHeight w:val="1875"/>
        </w:trPr>
        <w:tc>
          <w:tcPr>
            <w:tcW w:w="4905" w:type="dxa"/>
            <w:tcMar/>
          </w:tcPr>
          <w:p w:rsidR="77F3117D" w:rsidP="24215121" w:rsidRDefault="77F3117D" w14:paraId="04B4D0A5" w14:textId="77ECC4CD">
            <w:pPr>
              <w:pStyle w:val="Normal"/>
            </w:pPr>
            <w:r w:rsidRPr="24215121" w:rsidR="77F3117D">
              <w:rPr>
                <w:rFonts w:ascii="Times New Roman" w:hAnsi="Times New Roman" w:eastAsia="Times New Roman" w:cs="Times New Roman"/>
                <w:b w:val="0"/>
                <w:bCs w:val="0"/>
                <w:i w:val="0"/>
                <w:iCs w:val="0"/>
                <w:caps w:val="0"/>
                <w:smallCaps w:val="0"/>
                <w:noProof w:val="0"/>
                <w:color w:val="333333"/>
                <w:sz w:val="24"/>
                <w:szCs w:val="24"/>
                <w:lang w:val="en-US"/>
              </w:rPr>
              <w:t>Overall, this is a well-researched and highly relevant manuscript that offers valuable insights into the practice and potential of data parties in evaluation. The detailed case descriptions and robust methodological approach make it a significant contribution to the field.</w:t>
            </w:r>
          </w:p>
        </w:tc>
        <w:tc>
          <w:tcPr>
            <w:tcW w:w="5895" w:type="dxa"/>
            <w:tcMar/>
          </w:tcPr>
          <w:p w:rsidR="05D17B12" w:rsidP="24215121" w:rsidRDefault="05D17B12" w14:paraId="59C1F7EC" w14:textId="1D883F39">
            <w:pPr>
              <w:pStyle w:val="Normal"/>
              <w:rPr>
                <w:rFonts w:ascii="Times New Roman" w:hAnsi="Times New Roman" w:eastAsia="Times New Roman" w:cs="Times New Roman"/>
              </w:rPr>
            </w:pPr>
            <w:r w:rsidRPr="24215121" w:rsidR="05D17B12">
              <w:rPr>
                <w:rFonts w:ascii="Times New Roman" w:hAnsi="Times New Roman" w:eastAsia="Times New Roman" w:cs="Times New Roman"/>
              </w:rPr>
              <w:t>N/A.</w:t>
            </w:r>
          </w:p>
        </w:tc>
      </w:tr>
      <w:tr w:rsidR="24215121" w:rsidTr="25BF6034" w14:paraId="0C2F9609">
        <w:trPr>
          <w:trHeight w:val="300"/>
        </w:trPr>
        <w:tc>
          <w:tcPr>
            <w:tcW w:w="10800" w:type="dxa"/>
            <w:gridSpan w:val="2"/>
            <w:tcMar/>
          </w:tcPr>
          <w:p w:rsidR="7F5E4B8D" w:rsidP="24215121" w:rsidRDefault="7F5E4B8D" w14:paraId="7A9E3779" w14:textId="77B572FA">
            <w:pPr>
              <w:pStyle w:val="Normal"/>
              <w:jc w:val="center"/>
              <w:rPr>
                <w:rFonts w:ascii="Times New Roman" w:hAnsi="Times New Roman" w:eastAsia="Times New Roman" w:cs="Times New Roman"/>
                <w:b w:val="0"/>
                <w:bCs w:val="0"/>
                <w:i w:val="0"/>
                <w:iCs w:val="0"/>
                <w:caps w:val="0"/>
                <w:smallCaps w:val="0"/>
                <w:noProof w:val="0"/>
                <w:color w:val="333333"/>
                <w:sz w:val="24"/>
                <w:szCs w:val="24"/>
                <w:lang w:val="en-US"/>
              </w:rPr>
            </w:pPr>
            <w:r w:rsidRPr="24215121" w:rsidR="7F5E4B8D">
              <w:rPr>
                <w:rFonts w:ascii="Times New Roman" w:hAnsi="Times New Roman" w:eastAsia="Times New Roman" w:cs="Times New Roman"/>
                <w:b w:val="1"/>
                <w:bCs w:val="1"/>
                <w:i w:val="0"/>
                <w:iCs w:val="0"/>
                <w:caps w:val="0"/>
                <w:smallCaps w:val="0"/>
                <w:noProof w:val="0"/>
                <w:color w:val="333333"/>
                <w:sz w:val="24"/>
                <w:szCs w:val="24"/>
                <w:lang w:val="en-US"/>
              </w:rPr>
              <w:t>Reviewer 2</w:t>
            </w:r>
          </w:p>
        </w:tc>
      </w:tr>
      <w:tr w:rsidR="24215121" w:rsidTr="25BF6034" w14:paraId="09AA471A">
        <w:trPr>
          <w:trHeight w:val="300"/>
        </w:trPr>
        <w:tc>
          <w:tcPr>
            <w:tcW w:w="4905" w:type="dxa"/>
            <w:tcMar/>
          </w:tcPr>
          <w:p w:rsidR="7F5E4B8D" w:rsidP="24215121" w:rsidRDefault="7F5E4B8D" w14:paraId="7DFC5B77" w14:textId="7521AA94">
            <w:pPr>
              <w:pStyle w:val="Normal"/>
            </w:pP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This paper </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seeks</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to present “data </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parties” -</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events by which community members and </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partner</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gather to co-</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analyse</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the data - as an innovative model for evaluation. They use case studies or vignettes to explore the </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different ways</w:t>
            </w:r>
            <w:r w:rsidRPr="24215121"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data parties unfold, and the processes and strategies researchers use to collaborative analyze data together, for different projects, and to different ends.</w:t>
            </w:r>
          </w:p>
        </w:tc>
        <w:tc>
          <w:tcPr>
            <w:tcW w:w="5895" w:type="dxa"/>
            <w:tcMar/>
          </w:tcPr>
          <w:p w:rsidR="05D17B12" w:rsidP="24215121" w:rsidRDefault="05D17B12" w14:paraId="3A78009A" w14:textId="125E4752">
            <w:pPr>
              <w:pStyle w:val="Normal"/>
              <w:rPr>
                <w:rFonts w:ascii="Times New Roman" w:hAnsi="Times New Roman" w:eastAsia="Times New Roman" w:cs="Times New Roman"/>
              </w:rPr>
            </w:pPr>
            <w:r w:rsidRPr="24215121" w:rsidR="05D17B12">
              <w:rPr>
                <w:rFonts w:ascii="Times New Roman" w:hAnsi="Times New Roman" w:eastAsia="Times New Roman" w:cs="Times New Roman"/>
              </w:rPr>
              <w:t>N/A.</w:t>
            </w:r>
          </w:p>
        </w:tc>
      </w:tr>
      <w:tr w:rsidR="24215121" w:rsidTr="25BF6034" w14:paraId="7028E20C">
        <w:trPr>
          <w:trHeight w:val="300"/>
        </w:trPr>
        <w:tc>
          <w:tcPr>
            <w:tcW w:w="4905" w:type="dxa"/>
            <w:tcMar/>
          </w:tcPr>
          <w:p w:rsidR="7F5E4B8D" w:rsidP="24215121" w:rsidRDefault="7F5E4B8D" w14:paraId="46E0D4AE" w14:textId="2B52E0F0">
            <w:pPr>
              <w:pStyle w:val="Normal"/>
            </w:pP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The topic of this manuscript shows promise -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much scholarship</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on participatory analysis is situated within larger </w:t>
            </w:r>
            <w:r w:rsidRPr="25BF6034" w:rsidR="2B8A85EE">
              <w:rPr>
                <w:rFonts w:ascii="Times New Roman" w:hAnsi="Times New Roman" w:eastAsia="Times New Roman" w:cs="Times New Roman"/>
                <w:b w:val="0"/>
                <w:bCs w:val="0"/>
                <w:i w:val="0"/>
                <w:iCs w:val="0"/>
                <w:caps w:val="0"/>
                <w:smallCaps w:val="0"/>
                <w:noProof w:val="0"/>
                <w:color w:val="333333"/>
                <w:sz w:val="24"/>
                <w:szCs w:val="24"/>
                <w:lang w:val="en-US"/>
              </w:rPr>
              <w:t>community-based</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research fields. There is limited scholarship exploring the intricacies of participatory analysis in evaluation contexts. Further, the authors provide some very practical tips and strategies for thinking through how to embed a participatory approach to analysis in their work. The tables and figures presented by authors also show promise.</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While some tables/figures may be further </w:t>
            </w:r>
            <w:r w:rsidRPr="25BF6034" w:rsidR="57C119AE">
              <w:rPr>
                <w:rFonts w:ascii="Times New Roman" w:hAnsi="Times New Roman" w:eastAsia="Times New Roman" w:cs="Times New Roman"/>
                <w:b w:val="0"/>
                <w:bCs w:val="0"/>
                <w:i w:val="0"/>
                <w:iCs w:val="0"/>
                <w:caps w:val="0"/>
                <w:smallCaps w:val="0"/>
                <w:noProof w:val="0"/>
                <w:color w:val="333333"/>
                <w:sz w:val="24"/>
                <w:szCs w:val="24"/>
                <w:lang w:val="en-US"/>
              </w:rPr>
              <w:t>strengthen</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as a collection, they have the potential to provide helpful training tools for others. For example, Figure 3 in </w:t>
            </w:r>
            <w:r w:rsidRPr="25BF6034" w:rsidR="18E8AF8B">
              <w:rPr>
                <w:rFonts w:ascii="Times New Roman" w:hAnsi="Times New Roman" w:eastAsia="Times New Roman" w:cs="Times New Roman"/>
                <w:b w:val="0"/>
                <w:bCs w:val="0"/>
                <w:i w:val="0"/>
                <w:iCs w:val="0"/>
                <w:caps w:val="0"/>
                <w:smallCaps w:val="0"/>
                <w:noProof w:val="0"/>
                <w:color w:val="333333"/>
                <w:sz w:val="24"/>
                <w:szCs w:val="24"/>
                <w:lang w:val="en-US"/>
              </w:rPr>
              <w:t>particular</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is helpful for emerging researchers as they consider how to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plan for</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data parties in their own work.</w:t>
            </w:r>
          </w:p>
        </w:tc>
        <w:tc>
          <w:tcPr>
            <w:tcW w:w="5895" w:type="dxa"/>
            <w:tcMar/>
          </w:tcPr>
          <w:p w:rsidR="24215121" w:rsidP="6A24B2B6" w:rsidRDefault="24215121" w14:paraId="10602A44" w14:textId="193369DA">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rPr>
            </w:pPr>
            <w:r w:rsidRPr="6A24B2B6" w:rsidR="42B8A436">
              <w:rPr>
                <w:rFonts w:ascii="Times New Roman" w:hAnsi="Times New Roman" w:eastAsia="Times New Roman" w:cs="Times New Roman"/>
              </w:rPr>
              <w:t xml:space="preserve">Thank you for the positive feedback about our manuscript. We carefully revisited all figures and tables to ensure that each one clearly communicates its purpose and contributes meaningfully to the manuscript. For instance, we </w:t>
            </w:r>
            <w:r w:rsidRPr="6A24B2B6" w:rsidR="42B8A436">
              <w:rPr>
                <w:rFonts w:ascii="Times New Roman" w:hAnsi="Times New Roman" w:eastAsia="Times New Roman" w:cs="Times New Roman"/>
              </w:rPr>
              <w:t>determined</w:t>
            </w:r>
            <w:r w:rsidRPr="6A24B2B6" w:rsidR="42B8A436">
              <w:rPr>
                <w:rFonts w:ascii="Times New Roman" w:hAnsi="Times New Roman" w:eastAsia="Times New Roman" w:cs="Times New Roman"/>
              </w:rPr>
              <w:t xml:space="preserve"> that the components of Figure 2 were better conveyed in a structured layout, so we revised it as a table. We also revised the accompanying text of each table and figure to explicitly </w:t>
            </w:r>
            <w:r w:rsidRPr="6A24B2B6" w:rsidR="42B8A436">
              <w:rPr>
                <w:rFonts w:ascii="Times New Roman" w:hAnsi="Times New Roman" w:eastAsia="Times New Roman" w:cs="Times New Roman"/>
              </w:rPr>
              <w:t>state</w:t>
            </w:r>
            <w:r w:rsidRPr="6A24B2B6" w:rsidR="42B8A436">
              <w:rPr>
                <w:rFonts w:ascii="Times New Roman" w:hAnsi="Times New Roman" w:eastAsia="Times New Roman" w:cs="Times New Roman"/>
              </w:rPr>
              <w:t xml:space="preserve"> what readers should take away from each element (more detail is available in Review 1’s response to comments about tables and figures).</w:t>
            </w:r>
          </w:p>
        </w:tc>
      </w:tr>
      <w:tr w:rsidR="24215121" w:rsidTr="25BF6034" w14:paraId="61D36AFD">
        <w:trPr>
          <w:trHeight w:val="300"/>
        </w:trPr>
        <w:tc>
          <w:tcPr>
            <w:tcW w:w="4905" w:type="dxa"/>
            <w:tcMar/>
          </w:tcPr>
          <w:p w:rsidR="7F5E4B8D" w:rsidP="25BF6034" w:rsidRDefault="7F5E4B8D" w14:paraId="627F0ABE" w14:textId="0DF7E046">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However, despite this promise, the manuscript may benefit from a number of revisions prior to publication.</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First, the paper lacks clear organization and structure.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While the case study approach is a useful - and exciting - method to draw on</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the</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time points</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vignette</w:t>
            </w:r>
            <w:r w:rsidRPr="25BF6034" w:rsidR="44ED1FBA">
              <w:rPr>
                <w:rFonts w:ascii="Times New Roman" w:hAnsi="Times New Roman" w:eastAsia="Times New Roman" w:cs="Times New Roman"/>
                <w:b w:val="0"/>
                <w:bCs w:val="0"/>
                <w:i w:val="0"/>
                <w:iCs w:val="0"/>
                <w:caps w:val="0"/>
                <w:smallCaps w:val="0"/>
                <w:noProof w:val="0"/>
                <w:color w:val="333333"/>
                <w:sz w:val="24"/>
                <w:szCs w:val="24"/>
                <w:lang w:val="en-US"/>
              </w:rPr>
              <w:t>r</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s,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and overall conceptual flow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was</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hard to follow</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p>
        </w:tc>
        <w:tc>
          <w:tcPr>
            <w:tcW w:w="5895" w:type="dxa"/>
            <w:tcMar/>
          </w:tcPr>
          <w:p w:rsidR="35A200AD" w:rsidP="25BF6034" w:rsidRDefault="35A200AD" w14:paraId="526FA745" w14:textId="725A238C">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rPr>
            </w:pPr>
            <w:r w:rsidRPr="25BF6034" w:rsidR="37217068">
              <w:rPr>
                <w:rFonts w:ascii="Times New Roman" w:hAnsi="Times New Roman" w:eastAsia="Times New Roman" w:cs="Times New Roman"/>
              </w:rPr>
              <w:t>Thank you for this helpful note. We have adjusted the manuscript to include a paragraph in the introduction that outlines the overall structure of the manuscript and the rationale for its intentional organization (p.5)</w:t>
            </w:r>
          </w:p>
          <w:p w:rsidR="35A200AD" w:rsidP="25BF6034" w:rsidRDefault="35A200AD" w14:paraId="4276E6B8" w14:textId="768BF139">
            <w:pPr>
              <w:pStyle w:val="Normal"/>
              <w:rPr>
                <w:rFonts w:ascii="Times New Roman" w:hAnsi="Times New Roman" w:eastAsia="Times New Roman" w:cs="Times New Roman"/>
                <w:highlight w:val="darkGreen"/>
              </w:rPr>
            </w:pPr>
          </w:p>
          <w:p w:rsidR="35A200AD" w:rsidP="25BF6034" w:rsidRDefault="35A200AD" w14:paraId="3FA10359" w14:textId="58087591">
            <w:pPr>
              <w:pStyle w:val="Normal"/>
              <w:rPr>
                <w:rFonts w:ascii="Times New Roman" w:hAnsi="Times New Roman" w:eastAsia="Times New Roman" w:cs="Times New Roman"/>
              </w:rPr>
            </w:pPr>
            <w:r w:rsidRPr="25BF6034" w:rsidR="37217068">
              <w:rPr>
                <w:rFonts w:ascii="Times New Roman" w:hAnsi="Times New Roman" w:eastAsia="Times New Roman" w:cs="Times New Roman"/>
              </w:rPr>
              <w:t>We have added clarifying sentences to increase clarity about timepoints</w:t>
            </w:r>
            <w:r w:rsidRPr="25BF6034" w:rsidR="118914E1">
              <w:rPr>
                <w:rFonts w:ascii="Times New Roman" w:hAnsi="Times New Roman" w:eastAsia="Times New Roman" w:cs="Times New Roman"/>
              </w:rPr>
              <w:t>, as well as a new subheading to separate timepoints as its own section for each vignette</w:t>
            </w:r>
            <w:r w:rsidRPr="25BF6034" w:rsidR="37217068">
              <w:rPr>
                <w:rFonts w:ascii="Times New Roman" w:hAnsi="Times New Roman" w:eastAsia="Times New Roman" w:cs="Times New Roman"/>
              </w:rPr>
              <w:t xml:space="preserve"> </w:t>
            </w:r>
            <w:r w:rsidRPr="25BF6034" w:rsidR="37217068">
              <w:rPr>
                <w:rFonts w:ascii="Times New Roman" w:hAnsi="Times New Roman" w:eastAsia="Times New Roman" w:cs="Times New Roman"/>
              </w:rPr>
              <w:t>(</w:t>
            </w:r>
            <w:r w:rsidRPr="25BF6034" w:rsidR="37217068">
              <w:rPr>
                <w:rFonts w:ascii="Times New Roman" w:hAnsi="Times New Roman" w:eastAsia="Times New Roman" w:cs="Times New Roman"/>
              </w:rPr>
              <w:t>p.</w:t>
            </w:r>
            <w:r w:rsidRPr="25BF6034" w:rsidR="108E49B9">
              <w:rPr>
                <w:rFonts w:ascii="Times New Roman" w:hAnsi="Times New Roman" w:eastAsia="Times New Roman" w:cs="Times New Roman"/>
              </w:rPr>
              <w:t xml:space="preserve"> 15</w:t>
            </w:r>
            <w:r w:rsidRPr="25BF6034" w:rsidR="37217068">
              <w:rPr>
                <w:rFonts w:ascii="Times New Roman" w:hAnsi="Times New Roman" w:eastAsia="Times New Roman" w:cs="Times New Roman"/>
              </w:rPr>
              <w:t>;</w:t>
            </w:r>
            <w:r w:rsidRPr="25BF6034" w:rsidR="37217068">
              <w:rPr>
                <w:rFonts w:ascii="Times New Roman" w:hAnsi="Times New Roman" w:eastAsia="Times New Roman" w:cs="Times New Roman"/>
              </w:rPr>
              <w:t xml:space="preserve"> </w:t>
            </w:r>
            <w:r w:rsidRPr="25BF6034" w:rsidR="37217068">
              <w:rPr>
                <w:rFonts w:ascii="Times New Roman" w:hAnsi="Times New Roman" w:eastAsia="Times New Roman" w:cs="Times New Roman"/>
              </w:rPr>
              <w:t xml:space="preserve">p. </w:t>
            </w:r>
            <w:r w:rsidRPr="25BF6034" w:rsidR="770147A2">
              <w:rPr>
                <w:rFonts w:ascii="Times New Roman" w:hAnsi="Times New Roman" w:eastAsia="Times New Roman" w:cs="Times New Roman"/>
              </w:rPr>
              <w:t>17</w:t>
            </w:r>
            <w:r w:rsidRPr="25BF6034" w:rsidR="37217068">
              <w:rPr>
                <w:rFonts w:ascii="Times New Roman" w:hAnsi="Times New Roman" w:eastAsia="Times New Roman" w:cs="Times New Roman"/>
              </w:rPr>
              <w:t>;</w:t>
            </w:r>
            <w:r w:rsidRPr="25BF6034" w:rsidR="37217068">
              <w:rPr>
                <w:rFonts w:ascii="Times New Roman" w:hAnsi="Times New Roman" w:eastAsia="Times New Roman" w:cs="Times New Roman"/>
              </w:rPr>
              <w:t xml:space="preserve"> p. </w:t>
            </w:r>
            <w:r w:rsidRPr="25BF6034" w:rsidR="6A620693">
              <w:rPr>
                <w:rFonts w:ascii="Times New Roman" w:hAnsi="Times New Roman" w:eastAsia="Times New Roman" w:cs="Times New Roman"/>
              </w:rPr>
              <w:t>20; p.</w:t>
            </w:r>
            <w:r w:rsidRPr="25BF6034" w:rsidR="5AF602D1">
              <w:rPr>
                <w:rFonts w:ascii="Times New Roman" w:hAnsi="Times New Roman" w:eastAsia="Times New Roman" w:cs="Times New Roman"/>
              </w:rPr>
              <w:t>23</w:t>
            </w:r>
            <w:r w:rsidRPr="25BF6034" w:rsidR="37217068">
              <w:rPr>
                <w:rFonts w:ascii="Times New Roman" w:hAnsi="Times New Roman" w:eastAsia="Times New Roman" w:cs="Times New Roman"/>
              </w:rPr>
              <w:t>)</w:t>
            </w:r>
            <w:r w:rsidRPr="25BF6034" w:rsidR="37217068">
              <w:rPr>
                <w:rFonts w:ascii="Times New Roman" w:hAnsi="Times New Roman" w:eastAsia="Times New Roman" w:cs="Times New Roman"/>
              </w:rPr>
              <w:t>.</w:t>
            </w:r>
          </w:p>
          <w:p w:rsidR="35A200AD" w:rsidP="25BF6034" w:rsidRDefault="35A200AD" w14:paraId="0BE564F7" w14:textId="614EE701">
            <w:pPr>
              <w:pStyle w:val="Normal"/>
              <w:rPr>
                <w:rFonts w:ascii="Times New Roman" w:hAnsi="Times New Roman" w:eastAsia="Times New Roman" w:cs="Times New Roman"/>
              </w:rPr>
            </w:pPr>
          </w:p>
          <w:p w:rsidR="35A200AD" w:rsidP="25BF6034" w:rsidRDefault="35A200AD" w14:paraId="53600CA3" w14:textId="126ED1A2">
            <w:pPr>
              <w:pStyle w:val="Normal"/>
              <w:rPr>
                <w:rFonts w:ascii="Times New Roman" w:hAnsi="Times New Roman" w:eastAsia="Times New Roman" w:cs="Times New Roman"/>
              </w:rPr>
            </w:pPr>
            <w:r w:rsidRPr="25BF6034" w:rsidR="37217068">
              <w:rPr>
                <w:rFonts w:ascii="Times New Roman" w:hAnsi="Times New Roman" w:eastAsia="Times New Roman" w:cs="Times New Roman"/>
              </w:rPr>
              <w:t>We have added clarifying sentences to</w:t>
            </w:r>
            <w:r w:rsidRPr="25BF6034" w:rsidR="0C23917E">
              <w:rPr>
                <w:rFonts w:ascii="Times New Roman" w:hAnsi="Times New Roman" w:eastAsia="Times New Roman" w:cs="Times New Roman"/>
              </w:rPr>
              <w:t xml:space="preserve"> the framing</w:t>
            </w:r>
            <w:r w:rsidRPr="25BF6034" w:rsidR="37217068">
              <w:rPr>
                <w:rFonts w:ascii="Times New Roman" w:hAnsi="Times New Roman" w:eastAsia="Times New Roman" w:cs="Times New Roman"/>
              </w:rPr>
              <w:t xml:space="preserve"> </w:t>
            </w:r>
            <w:r w:rsidRPr="25BF6034" w:rsidR="37217068">
              <w:rPr>
                <w:rFonts w:ascii="Times New Roman" w:hAnsi="Times New Roman" w:eastAsia="Times New Roman" w:cs="Times New Roman"/>
              </w:rPr>
              <w:t xml:space="preserve">paragraph </w:t>
            </w:r>
            <w:r w:rsidRPr="25BF6034" w:rsidR="26E87FBF">
              <w:rPr>
                <w:rFonts w:ascii="Times New Roman" w:hAnsi="Times New Roman" w:eastAsia="Times New Roman" w:cs="Times New Roman"/>
              </w:rPr>
              <w:t xml:space="preserve">about vignettes </w:t>
            </w:r>
            <w:r w:rsidRPr="25BF6034" w:rsidR="37217068">
              <w:rPr>
                <w:rFonts w:ascii="Times New Roman" w:hAnsi="Times New Roman" w:eastAsia="Times New Roman" w:cs="Times New Roman"/>
              </w:rPr>
              <w:t xml:space="preserve">to increase cohesion and </w:t>
            </w:r>
            <w:r w:rsidRPr="25BF6034" w:rsidR="69CD2991">
              <w:rPr>
                <w:rFonts w:ascii="Times New Roman" w:hAnsi="Times New Roman" w:eastAsia="Times New Roman" w:cs="Times New Roman"/>
              </w:rPr>
              <w:t xml:space="preserve">conceptual </w:t>
            </w:r>
            <w:r w:rsidRPr="25BF6034" w:rsidR="60974D96">
              <w:rPr>
                <w:rFonts w:ascii="Times New Roman" w:hAnsi="Times New Roman" w:eastAsia="Times New Roman" w:cs="Times New Roman"/>
              </w:rPr>
              <w:t>flow (</w:t>
            </w:r>
            <w:r w:rsidRPr="25BF6034" w:rsidR="60974D96">
              <w:rPr>
                <w:rFonts w:ascii="Times New Roman" w:hAnsi="Times New Roman" w:eastAsia="Times New Roman" w:cs="Times New Roman"/>
              </w:rPr>
              <w:t xml:space="preserve">p. </w:t>
            </w:r>
            <w:r w:rsidRPr="25BF6034" w:rsidR="10A3EC04">
              <w:rPr>
                <w:rFonts w:ascii="Times New Roman" w:hAnsi="Times New Roman" w:eastAsia="Times New Roman" w:cs="Times New Roman"/>
              </w:rPr>
              <w:t>15</w:t>
            </w:r>
            <w:r w:rsidRPr="25BF6034" w:rsidR="60974D96">
              <w:rPr>
                <w:rFonts w:ascii="Times New Roman" w:hAnsi="Times New Roman" w:eastAsia="Times New Roman" w:cs="Times New Roman"/>
              </w:rPr>
              <w:t>)</w:t>
            </w:r>
            <w:r w:rsidRPr="25BF6034" w:rsidR="60974D96">
              <w:rPr>
                <w:rFonts w:ascii="Times New Roman" w:hAnsi="Times New Roman" w:eastAsia="Times New Roman" w:cs="Times New Roman"/>
              </w:rPr>
              <w:t>.</w:t>
            </w:r>
          </w:p>
          <w:p w:rsidR="35A200AD" w:rsidP="25BF6034" w:rsidRDefault="35A200AD" w14:paraId="7DB04202" w14:textId="51BFF3AE">
            <w:pPr>
              <w:pStyle w:val="Normal"/>
              <w:rPr>
                <w:rFonts w:ascii="Times New Roman" w:hAnsi="Times New Roman" w:eastAsia="Times New Roman" w:cs="Times New Roman"/>
              </w:rPr>
            </w:pPr>
          </w:p>
          <w:p w:rsidR="35A200AD" w:rsidP="25BF6034" w:rsidRDefault="35A200AD" w14:paraId="0AD353A9" w14:textId="4B41379E">
            <w:pPr>
              <w:pStyle w:val="Normal"/>
              <w:rPr>
                <w:rFonts w:ascii="Times New Roman" w:hAnsi="Times New Roman" w:eastAsia="Times New Roman" w:cs="Times New Roman"/>
              </w:rPr>
            </w:pPr>
            <w:r w:rsidRPr="25BF6034" w:rsidR="60974D96">
              <w:rPr>
                <w:rFonts w:ascii="Times New Roman" w:hAnsi="Times New Roman" w:eastAsia="Times New Roman" w:cs="Times New Roman"/>
              </w:rPr>
              <w:t xml:space="preserve">We have added </w:t>
            </w:r>
            <w:r w:rsidRPr="25BF6034" w:rsidR="73C178B2">
              <w:rPr>
                <w:rFonts w:ascii="Times New Roman" w:hAnsi="Times New Roman" w:eastAsia="Times New Roman" w:cs="Times New Roman"/>
              </w:rPr>
              <w:t>a clarifying paragraph</w:t>
            </w:r>
            <w:r w:rsidRPr="25BF6034" w:rsidR="60974D96">
              <w:rPr>
                <w:rFonts w:ascii="Times New Roman" w:hAnsi="Times New Roman" w:eastAsia="Times New Roman" w:cs="Times New Roman"/>
              </w:rPr>
              <w:t xml:space="preserve"> </w:t>
            </w:r>
            <w:r w:rsidRPr="25BF6034" w:rsidR="1BACBDB6">
              <w:rPr>
                <w:rFonts w:ascii="Times New Roman" w:hAnsi="Times New Roman" w:eastAsia="Times New Roman" w:cs="Times New Roman"/>
              </w:rPr>
              <w:t xml:space="preserve">for </w:t>
            </w:r>
            <w:r w:rsidRPr="25BF6034" w:rsidR="60974D96">
              <w:rPr>
                <w:rFonts w:ascii="Times New Roman" w:hAnsi="Times New Roman" w:eastAsia="Times New Roman" w:cs="Times New Roman"/>
              </w:rPr>
              <w:t xml:space="preserve">the conceptual framing </w:t>
            </w:r>
            <w:r w:rsidRPr="25BF6034" w:rsidR="18490F06">
              <w:rPr>
                <w:rFonts w:ascii="Times New Roman" w:hAnsi="Times New Roman" w:eastAsia="Times New Roman" w:cs="Times New Roman"/>
              </w:rPr>
              <w:t>section</w:t>
            </w:r>
            <w:r w:rsidRPr="25BF6034" w:rsidR="60974D96">
              <w:rPr>
                <w:rFonts w:ascii="Times New Roman" w:hAnsi="Times New Roman" w:eastAsia="Times New Roman" w:cs="Times New Roman"/>
              </w:rPr>
              <w:t xml:space="preserve"> to enhance f</w:t>
            </w:r>
            <w:r w:rsidRPr="25BF6034" w:rsidR="1710A93D">
              <w:rPr>
                <w:rFonts w:ascii="Times New Roman" w:hAnsi="Times New Roman" w:eastAsia="Times New Roman" w:cs="Times New Roman"/>
              </w:rPr>
              <w:t xml:space="preserve">low </w:t>
            </w:r>
            <w:r w:rsidRPr="25BF6034" w:rsidR="60974D96">
              <w:rPr>
                <w:rFonts w:ascii="Times New Roman" w:hAnsi="Times New Roman" w:eastAsia="Times New Roman" w:cs="Times New Roman"/>
              </w:rPr>
              <w:t xml:space="preserve">and meaningfully bridge the theoretical/conceptual gaps (p. </w:t>
            </w:r>
            <w:r w:rsidRPr="25BF6034" w:rsidR="77BF094E">
              <w:rPr>
                <w:rFonts w:ascii="Times New Roman" w:hAnsi="Times New Roman" w:eastAsia="Times New Roman" w:cs="Times New Roman"/>
              </w:rPr>
              <w:t>7</w:t>
            </w:r>
            <w:r w:rsidRPr="25BF6034" w:rsidR="67D09C99">
              <w:rPr>
                <w:rFonts w:ascii="Times New Roman" w:hAnsi="Times New Roman" w:eastAsia="Times New Roman" w:cs="Times New Roman"/>
              </w:rPr>
              <w:t>).</w:t>
            </w:r>
          </w:p>
        </w:tc>
      </w:tr>
      <w:tr w:rsidR="24215121" w:rsidTr="25BF6034" w14:paraId="4C0075B0">
        <w:trPr>
          <w:trHeight w:val="300"/>
        </w:trPr>
        <w:tc>
          <w:tcPr>
            <w:tcW w:w="4905" w:type="dxa"/>
            <w:tcMar/>
          </w:tcPr>
          <w:p w:rsidR="5BC0A47E" w:rsidP="25BF6034" w:rsidRDefault="5BC0A47E" w14:paraId="1F5E7F5F" w14:textId="7B828224">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Second,</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 the framing of the paper within the field of evaluation - while the site of this work - feels out of place for the opening literature review.</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There is an emerging and </w:t>
            </w:r>
            <w:r w:rsidRPr="25BF6034" w:rsidR="2ABC6B07">
              <w:rPr>
                <w:rFonts w:ascii="Times New Roman" w:hAnsi="Times New Roman" w:eastAsia="Times New Roman" w:cs="Times New Roman"/>
                <w:b w:val="0"/>
                <w:bCs w:val="0"/>
                <w:i w:val="0"/>
                <w:iCs w:val="0"/>
                <w:caps w:val="0"/>
                <w:smallCaps w:val="0"/>
                <w:noProof w:val="0"/>
                <w:color w:val="333333"/>
                <w:sz w:val="24"/>
                <w:szCs w:val="24"/>
                <w:lang w:val="en-US"/>
              </w:rPr>
              <w:t>burgeoning</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 field in participatory analysis - and yet none of this literature is mentioned.</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 Authors may consider </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review of</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 this literature to consider - </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what is the unique “add” of their </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particular article</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 xml:space="preserve">At times, some of the claims for contribution felt surface level, and too-common place given the context of participatory research. </w:t>
            </w:r>
            <w:r w:rsidRPr="25BF6034" w:rsidR="3822D841">
              <w:rPr>
                <w:rFonts w:ascii="Times New Roman" w:hAnsi="Times New Roman" w:eastAsia="Times New Roman" w:cs="Times New Roman"/>
                <w:b w:val="0"/>
                <w:bCs w:val="0"/>
                <w:i w:val="0"/>
                <w:iCs w:val="0"/>
                <w:caps w:val="0"/>
                <w:smallCaps w:val="0"/>
                <w:noProof w:val="0"/>
                <w:color w:val="333333"/>
                <w:sz w:val="24"/>
                <w:szCs w:val="24"/>
                <w:lang w:val="en-US"/>
              </w:rPr>
              <w:t>Future revisions could push for greater analytic and theoretical depth.</w:t>
            </w:r>
          </w:p>
        </w:tc>
        <w:tc>
          <w:tcPr>
            <w:tcW w:w="5895" w:type="dxa"/>
            <w:tcMar/>
          </w:tcPr>
          <w:p w:rsidR="3F5E8B05" w:rsidP="25BF6034" w:rsidRDefault="3F5E8B05" w14:paraId="0989DC03" w14:textId="29622712">
            <w:pPr>
              <w:pStyle w:val="Normal"/>
              <w:suppressLineNumbers w:val="0"/>
              <w:bidi w:val="0"/>
              <w:spacing w:before="0" w:beforeAutospacing="off" w:after="0" w:afterAutospacing="off" w:line="240" w:lineRule="auto"/>
              <w:ind w:left="0" w:right="0" w:hanging="0"/>
              <w:jc w:val="left"/>
              <w:rPr>
                <w:rFonts w:ascii="Times New Roman" w:hAnsi="Times New Roman" w:eastAsia="Times New Roman" w:cs="Times New Roman"/>
              </w:rPr>
            </w:pPr>
            <w:r w:rsidRPr="25BF6034" w:rsidR="2F9C7893">
              <w:rPr>
                <w:rFonts w:ascii="Times New Roman" w:hAnsi="Times New Roman" w:eastAsia="Times New Roman" w:cs="Times New Roman"/>
              </w:rPr>
              <w:t xml:space="preserve">This comment was </w:t>
            </w:r>
            <w:r w:rsidRPr="25BF6034" w:rsidR="2F9C7893">
              <w:rPr>
                <w:rFonts w:ascii="Times New Roman" w:hAnsi="Times New Roman" w:eastAsia="Times New Roman" w:cs="Times New Roman"/>
              </w:rPr>
              <w:t>very helpful</w:t>
            </w:r>
            <w:r w:rsidRPr="25BF6034" w:rsidR="2F9C7893">
              <w:rPr>
                <w:rFonts w:ascii="Times New Roman" w:hAnsi="Times New Roman" w:eastAsia="Times New Roman" w:cs="Times New Roman"/>
              </w:rPr>
              <w:t xml:space="preserve">. We have added some </w:t>
            </w:r>
            <w:r w:rsidRPr="25BF6034" w:rsidR="2F9C7893">
              <w:rPr>
                <w:rFonts w:ascii="Times New Roman" w:hAnsi="Times New Roman" w:eastAsia="Times New Roman" w:cs="Times New Roman"/>
              </w:rPr>
              <w:t>reference</w:t>
            </w:r>
            <w:r w:rsidRPr="25BF6034" w:rsidR="2D9D0114">
              <w:rPr>
                <w:rFonts w:ascii="Times New Roman" w:hAnsi="Times New Roman" w:eastAsia="Times New Roman" w:cs="Times New Roman"/>
              </w:rPr>
              <w:t>s</w:t>
            </w:r>
            <w:r w:rsidRPr="25BF6034" w:rsidR="2F9C7893">
              <w:rPr>
                <w:rFonts w:ascii="Times New Roman" w:hAnsi="Times New Roman" w:eastAsia="Times New Roman" w:cs="Times New Roman"/>
              </w:rPr>
              <w:t xml:space="preserve"> connected to the field and growing adoption of participatory analysis, as well as </w:t>
            </w:r>
            <w:r w:rsidRPr="25BF6034" w:rsidR="2F9C7893">
              <w:rPr>
                <w:rFonts w:ascii="Times New Roman" w:hAnsi="Times New Roman" w:eastAsia="Times New Roman" w:cs="Times New Roman"/>
              </w:rPr>
              <w:t>clarified</w:t>
            </w:r>
            <w:r w:rsidRPr="25BF6034" w:rsidR="2F9C7893">
              <w:rPr>
                <w:rFonts w:ascii="Times New Roman" w:hAnsi="Times New Roman" w:eastAsia="Times New Roman" w:cs="Times New Roman"/>
              </w:rPr>
              <w:t xml:space="preserve"> this paper’s contributions and purpose to that context (p.6-7).</w:t>
            </w:r>
          </w:p>
          <w:p w:rsidR="3F5E8B05" w:rsidP="25BF6034" w:rsidRDefault="3F5E8B05" w14:paraId="488BD228" w14:textId="4D0B17F5">
            <w:pPr>
              <w:pStyle w:val="Normal"/>
              <w:suppressLineNumbers w:val="0"/>
              <w:bidi w:val="0"/>
              <w:spacing w:before="0" w:beforeAutospacing="off" w:after="0" w:afterAutospacing="off" w:line="240" w:lineRule="auto"/>
              <w:ind w:left="0" w:right="0" w:hanging="0"/>
              <w:jc w:val="left"/>
              <w:rPr>
                <w:rFonts w:ascii="Times New Roman" w:hAnsi="Times New Roman" w:eastAsia="Times New Roman" w:cs="Times New Roman"/>
              </w:rPr>
            </w:pPr>
          </w:p>
          <w:p w:rsidR="3F5E8B05" w:rsidP="25BF6034" w:rsidRDefault="3F5E8B05" w14:paraId="440B191E" w14:textId="1035A226">
            <w:pPr>
              <w:pStyle w:val="Normal"/>
              <w:suppressLineNumbers w:val="0"/>
              <w:bidi w:val="0"/>
              <w:spacing w:before="0" w:beforeAutospacing="off" w:after="0" w:afterAutospacing="off" w:line="240" w:lineRule="auto"/>
              <w:ind w:left="0" w:right="0" w:hanging="0"/>
              <w:jc w:val="left"/>
              <w:rPr>
                <w:rFonts w:ascii="Times New Roman" w:hAnsi="Times New Roman" w:eastAsia="Times New Roman" w:cs="Times New Roman"/>
              </w:rPr>
            </w:pPr>
          </w:p>
          <w:p w:rsidR="3F5E8B05" w:rsidP="6A24B2B6" w:rsidRDefault="3F5E8B05" w14:paraId="0AE9CC29" w14:textId="7F10A05A">
            <w:pPr>
              <w:pStyle w:val="Normal"/>
              <w:suppressLineNumbers w:val="0"/>
              <w:bidi w:val="0"/>
              <w:spacing w:before="0" w:beforeAutospacing="off" w:after="0" w:afterAutospacing="off" w:line="240" w:lineRule="auto"/>
              <w:ind w:left="0" w:right="0" w:hanging="0"/>
              <w:jc w:val="left"/>
              <w:rPr>
                <w:rFonts w:ascii="Times New Roman" w:hAnsi="Times New Roman" w:eastAsia="Times New Roman" w:cs="Times New Roman"/>
              </w:rPr>
            </w:pPr>
          </w:p>
        </w:tc>
      </w:tr>
      <w:tr w:rsidR="24215121" w:rsidTr="25BF6034" w14:paraId="03082803">
        <w:trPr>
          <w:trHeight w:val="300"/>
        </w:trPr>
        <w:tc>
          <w:tcPr>
            <w:tcW w:w="4905" w:type="dxa"/>
            <w:tcMar/>
          </w:tcPr>
          <w:p w:rsidR="5BC0A47E" w:rsidP="25BF6034" w:rsidRDefault="5BC0A47E" w14:paraId="7D367D72" w14:textId="7EA048D8">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While the journal focus is applied, there is still a place for thinking through the contributions this paper could make to a larger field. For example, as mentioned above, one novel contribution is evaluation as a field for this work. </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How does participatory data analysis vary in evaluation vs more formal research? </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Or,</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 what is the relationship between data parties, and the larger literature on participatory analysis?</w:t>
            </w:r>
          </w:p>
        </w:tc>
        <w:tc>
          <w:tcPr>
            <w:tcW w:w="5895" w:type="dxa"/>
            <w:tcMar/>
          </w:tcPr>
          <w:p w:rsidR="24215121" w:rsidP="25BF6034" w:rsidRDefault="24215121" w14:paraId="3BA5DD5D" w14:textId="61A56D92">
            <w:pPr>
              <w:pStyle w:val="Normal"/>
              <w:rPr>
                <w:rFonts w:ascii="Times New Roman" w:hAnsi="Times New Roman" w:eastAsia="Times New Roman" w:cs="Times New Roman"/>
              </w:rPr>
            </w:pPr>
            <w:r w:rsidRPr="25BF6034" w:rsidR="47C94F14">
              <w:rPr>
                <w:rFonts w:ascii="Times New Roman" w:hAnsi="Times New Roman" w:eastAsia="Times New Roman" w:cs="Times New Roman"/>
              </w:rPr>
              <w:t xml:space="preserve">This is an excellent point. To address this question meaningfully, </w:t>
            </w:r>
            <w:r w:rsidRPr="25BF6034" w:rsidR="47C94F14">
              <w:rPr>
                <w:rFonts w:ascii="Times New Roman" w:hAnsi="Times New Roman" w:eastAsia="Times New Roman" w:cs="Times New Roman"/>
              </w:rPr>
              <w:t>we’ve</w:t>
            </w:r>
            <w:r w:rsidRPr="25BF6034" w:rsidR="47C94F14">
              <w:rPr>
                <w:rFonts w:ascii="Times New Roman" w:hAnsi="Times New Roman" w:eastAsia="Times New Roman" w:cs="Times New Roman"/>
              </w:rPr>
              <w:t xml:space="preserve"> included an </w:t>
            </w:r>
            <w:r w:rsidRPr="25BF6034" w:rsidR="47C94F14">
              <w:rPr>
                <w:rFonts w:ascii="Times New Roman" w:hAnsi="Times New Roman" w:eastAsia="Times New Roman" w:cs="Times New Roman"/>
              </w:rPr>
              <w:t>additional</w:t>
            </w:r>
            <w:r w:rsidRPr="25BF6034" w:rsidR="47C94F14">
              <w:rPr>
                <w:rFonts w:ascii="Times New Roman" w:hAnsi="Times New Roman" w:eastAsia="Times New Roman" w:cs="Times New Roman"/>
              </w:rPr>
              <w:t xml:space="preserve"> paragraph that speaks to these questions directly</w:t>
            </w:r>
            <w:r w:rsidRPr="25BF6034" w:rsidR="3A78E5A1">
              <w:rPr>
                <w:rFonts w:ascii="Times New Roman" w:hAnsi="Times New Roman" w:eastAsia="Times New Roman" w:cs="Times New Roman"/>
              </w:rPr>
              <w:t xml:space="preserve"> (p.</w:t>
            </w:r>
            <w:r w:rsidRPr="25BF6034" w:rsidR="53D9CE7D">
              <w:rPr>
                <w:rFonts w:ascii="Times New Roman" w:hAnsi="Times New Roman" w:eastAsia="Times New Roman" w:cs="Times New Roman"/>
              </w:rPr>
              <w:t>7</w:t>
            </w:r>
            <w:r w:rsidRPr="25BF6034" w:rsidR="3A78E5A1">
              <w:rPr>
                <w:rFonts w:ascii="Times New Roman" w:hAnsi="Times New Roman" w:eastAsia="Times New Roman" w:cs="Times New Roman"/>
              </w:rPr>
              <w:t>)</w:t>
            </w:r>
            <w:r w:rsidRPr="25BF6034" w:rsidR="04123503">
              <w:rPr>
                <w:rFonts w:ascii="Times New Roman" w:hAnsi="Times New Roman" w:eastAsia="Times New Roman" w:cs="Times New Roman"/>
              </w:rPr>
              <w:t xml:space="preserve">. The paragraph discusses the connection between participatory analytical methods in evaluation and the increasing presence of transferability to formalized empirical research contexts. </w:t>
            </w:r>
          </w:p>
        </w:tc>
      </w:tr>
      <w:tr w:rsidR="24215121" w:rsidTr="25BF6034" w14:paraId="44642560">
        <w:trPr>
          <w:trHeight w:val="300"/>
        </w:trPr>
        <w:tc>
          <w:tcPr>
            <w:tcW w:w="4905" w:type="dxa"/>
            <w:tcMar/>
          </w:tcPr>
          <w:p w:rsidR="5BC0A47E" w:rsidP="24215121" w:rsidRDefault="5BC0A47E" w14:paraId="128F372D" w14:textId="69CFC754">
            <w:pPr>
              <w:pStyle w:val="Normal"/>
            </w:pP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Another novel contribution is the case study approach, to explore how data analysis plays out across all cases. While this last </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focus,</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 may have been the </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articles</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 intention, </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more could be done to really tease out lessons learned.</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 All could be fruitful sites to </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explore for</w:t>
            </w:r>
            <w:r w:rsidRPr="25BF6034" w:rsidR="5BC0A47E">
              <w:rPr>
                <w:rFonts w:ascii="Times New Roman" w:hAnsi="Times New Roman" w:eastAsia="Times New Roman" w:cs="Times New Roman"/>
                <w:b w:val="0"/>
                <w:bCs w:val="0"/>
                <w:i w:val="0"/>
                <w:iCs w:val="0"/>
                <w:caps w:val="0"/>
                <w:smallCaps w:val="0"/>
                <w:noProof w:val="0"/>
                <w:color w:val="333333"/>
                <w:sz w:val="24"/>
                <w:szCs w:val="24"/>
                <w:lang w:val="en-US"/>
              </w:rPr>
              <w:t xml:space="preserve"> future paper revisions.</w:t>
            </w:r>
          </w:p>
        </w:tc>
        <w:tc>
          <w:tcPr>
            <w:tcW w:w="5895" w:type="dxa"/>
            <w:tcMar/>
          </w:tcPr>
          <w:p w:rsidR="24255D94" w:rsidP="25BF6034" w:rsidRDefault="24255D94" w14:paraId="58DFBE20" w14:textId="265DDCE9">
            <w:pPr>
              <w:pStyle w:val="Normal"/>
              <w:rPr>
                <w:rFonts w:ascii="Times New Roman" w:hAnsi="Times New Roman" w:eastAsia="Times New Roman" w:cs="Times New Roman"/>
              </w:rPr>
            </w:pPr>
            <w:r w:rsidRPr="25BF6034" w:rsidR="53AF9058">
              <w:rPr>
                <w:rFonts w:ascii="Times New Roman" w:hAnsi="Times New Roman" w:eastAsia="Times New Roman" w:cs="Times New Roman"/>
              </w:rPr>
              <w:t>This is a great point. We have addressed this by adding a brief paragraph outlining the explicit use of a case study approach with a shared throughline of participatory analysis and the applicability of</w:t>
            </w:r>
            <w:r w:rsidRPr="25BF6034" w:rsidR="65380BF9">
              <w:rPr>
                <w:rFonts w:ascii="Times New Roman" w:hAnsi="Times New Roman" w:eastAsia="Times New Roman" w:cs="Times New Roman"/>
              </w:rPr>
              <w:t xml:space="preserve"> insights to innovating empirical research approaches, especially when </w:t>
            </w:r>
            <w:r w:rsidRPr="25BF6034" w:rsidR="65380BF9">
              <w:rPr>
                <w:rFonts w:ascii="Times New Roman" w:hAnsi="Times New Roman" w:eastAsia="Times New Roman" w:cs="Times New Roman"/>
              </w:rPr>
              <w:t>seeking</w:t>
            </w:r>
            <w:r w:rsidRPr="25BF6034" w:rsidR="65380BF9">
              <w:rPr>
                <w:rFonts w:ascii="Times New Roman" w:hAnsi="Times New Roman" w:eastAsia="Times New Roman" w:cs="Times New Roman"/>
              </w:rPr>
              <w:t xml:space="preserve"> to value engaged perspectives more intentionally (p.</w:t>
            </w:r>
            <w:commentRangeStart w:id="327310322"/>
            <w:r w:rsidRPr="25BF6034" w:rsidR="65380BF9">
              <w:rPr>
                <w:rFonts w:ascii="Times New Roman" w:hAnsi="Times New Roman" w:eastAsia="Times New Roman" w:cs="Times New Roman"/>
              </w:rPr>
              <w:t>33</w:t>
            </w:r>
            <w:commentRangeEnd w:id="327310322"/>
            <w:r>
              <w:rPr>
                <w:rStyle w:val="CommentReference"/>
              </w:rPr>
              <w:commentReference w:id="327310322"/>
            </w:r>
            <w:r w:rsidRPr="25BF6034" w:rsidR="65380BF9">
              <w:rPr>
                <w:rFonts w:ascii="Times New Roman" w:hAnsi="Times New Roman" w:eastAsia="Times New Roman" w:cs="Times New Roman"/>
              </w:rPr>
              <w:t>)</w:t>
            </w:r>
          </w:p>
        </w:tc>
      </w:tr>
      <w:tr w:rsidR="24215121" w:rsidTr="25BF6034" w14:paraId="2CEEB093">
        <w:trPr>
          <w:trHeight w:val="300"/>
        </w:trPr>
        <w:tc>
          <w:tcPr>
            <w:tcW w:w="4905" w:type="dxa"/>
            <w:tcMar/>
          </w:tcPr>
          <w:p w:rsidR="7F5E4B8D" w:rsidP="25BF6034" w:rsidRDefault="7F5E4B8D" w14:paraId="5E12F82E" w14:textId="4B76F639">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As</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mentioned above, authors may want to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consider framing their paper within the context of participatory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analysis</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literature, and</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streamlining some of the sections.</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w:t>
            </w:r>
          </w:p>
        </w:tc>
        <w:tc>
          <w:tcPr>
            <w:tcW w:w="5895" w:type="dxa"/>
            <w:tcMar/>
          </w:tcPr>
          <w:p w:rsidR="40FCAE00" w:rsidP="25BF6034" w:rsidRDefault="40FCAE00" w14:paraId="5EE5E51E" w14:textId="725A238C">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rPr>
            </w:pPr>
            <w:r w:rsidRPr="25BF6034" w:rsidR="22A9CD58">
              <w:rPr>
                <w:rFonts w:ascii="Times New Roman" w:hAnsi="Times New Roman" w:eastAsia="Times New Roman" w:cs="Times New Roman"/>
              </w:rPr>
              <w:t>Thank you for this helpful note. We have adjusted the manuscript to include a paragraph in the introduction</w:t>
            </w:r>
            <w:r w:rsidRPr="25BF6034" w:rsidR="583D1391">
              <w:rPr>
                <w:rFonts w:ascii="Times New Roman" w:hAnsi="Times New Roman" w:eastAsia="Times New Roman" w:cs="Times New Roman"/>
              </w:rPr>
              <w:t xml:space="preserve"> that outlines the overall structure of the manuscript and the rationale for its intentional organization</w:t>
            </w:r>
            <w:r w:rsidRPr="25BF6034" w:rsidR="22A9CD58">
              <w:rPr>
                <w:rFonts w:ascii="Times New Roman" w:hAnsi="Times New Roman" w:eastAsia="Times New Roman" w:cs="Times New Roman"/>
              </w:rPr>
              <w:t xml:space="preserve"> </w:t>
            </w:r>
            <w:r w:rsidRPr="25BF6034" w:rsidR="22A9CD58">
              <w:rPr>
                <w:rFonts w:ascii="Times New Roman" w:hAnsi="Times New Roman" w:eastAsia="Times New Roman" w:cs="Times New Roman"/>
              </w:rPr>
              <w:t>(</w:t>
            </w:r>
            <w:r w:rsidRPr="25BF6034" w:rsidR="2CFE146E">
              <w:rPr>
                <w:rFonts w:ascii="Times New Roman" w:hAnsi="Times New Roman" w:eastAsia="Times New Roman" w:cs="Times New Roman"/>
              </w:rPr>
              <w:t>p.5)</w:t>
            </w:r>
          </w:p>
        </w:tc>
      </w:tr>
      <w:tr w:rsidR="24215121" w:rsidTr="25BF6034" w14:paraId="19F4EA7F">
        <w:trPr>
          <w:trHeight w:val="945"/>
        </w:trPr>
        <w:tc>
          <w:tcPr>
            <w:tcW w:w="4905" w:type="dxa"/>
            <w:tcMar/>
          </w:tcPr>
          <w:p w:rsidR="61C84DBE" w:rsidP="25BF6034" w:rsidRDefault="61C84DBE" w14:paraId="54919321" w14:textId="72E134B7">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The figures/tables show </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promise</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 but some are more developed than other</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s. </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What might a reader glean or take away from each figure or table? What do they </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accomplish</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Authors might </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want to</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to</w:t>
            </w: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 xml:space="preserve"> turn to these figures/tables as a conceptual starting point for re-organization.</w:t>
            </w:r>
          </w:p>
        </w:tc>
        <w:tc>
          <w:tcPr>
            <w:tcW w:w="5895" w:type="dxa"/>
            <w:tcMar/>
          </w:tcPr>
          <w:p w:rsidR="24215121" w:rsidP="24215121" w:rsidRDefault="24215121" w14:paraId="7EAFADF5" w14:textId="6E2F58FD">
            <w:pPr>
              <w:pStyle w:val="Normal"/>
              <w:rPr>
                <w:rFonts w:ascii="Times New Roman" w:hAnsi="Times New Roman" w:eastAsia="Times New Roman" w:cs="Times New Roman"/>
              </w:rPr>
            </w:pPr>
            <w:r w:rsidRPr="6A24B2B6" w:rsidR="7DE23C54">
              <w:rPr>
                <w:rFonts w:ascii="Times New Roman" w:hAnsi="Times New Roman" w:eastAsia="Times New Roman" w:cs="Times New Roman"/>
              </w:rPr>
              <w:t>As noted above, we revised the text surrounding all tables and figures to ensure they are accessible and clearly articulate their purpose. We also converted Figure 2 into Table 2 to present the information in a clearer, more structured format that better supports its intended function.</w:t>
            </w:r>
          </w:p>
        </w:tc>
      </w:tr>
      <w:tr w:rsidR="24215121" w:rsidTr="25BF6034" w14:paraId="115F556E">
        <w:trPr>
          <w:trHeight w:val="300"/>
        </w:trPr>
        <w:tc>
          <w:tcPr>
            <w:tcW w:w="4905" w:type="dxa"/>
            <w:tcMar/>
          </w:tcPr>
          <w:p w:rsidR="61C84DBE" w:rsidP="25BF6034" w:rsidRDefault="61C84DBE" w14:paraId="2052E73E" w14:textId="479477AC">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61C84DBE">
              <w:rPr>
                <w:rFonts w:ascii="Times New Roman" w:hAnsi="Times New Roman" w:eastAsia="Times New Roman" w:cs="Times New Roman"/>
                <w:b w:val="0"/>
                <w:bCs w:val="0"/>
                <w:i w:val="0"/>
                <w:iCs w:val="0"/>
                <w:caps w:val="0"/>
                <w:smallCaps w:val="0"/>
                <w:noProof w:val="0"/>
                <w:color w:val="333333"/>
                <w:sz w:val="24"/>
                <w:szCs w:val="24"/>
                <w:lang w:val="en-US"/>
              </w:rPr>
              <w:t>Further, the time points felt confusing and hard to follow.</w:t>
            </w:r>
          </w:p>
        </w:tc>
        <w:tc>
          <w:tcPr>
            <w:tcW w:w="5895" w:type="dxa"/>
            <w:tcMar/>
          </w:tcPr>
          <w:p w:rsidR="646A407A" w:rsidP="25BF6034" w:rsidRDefault="646A407A" w14:paraId="372522C9" w14:textId="5708AAE7">
            <w:pPr>
              <w:pStyle w:val="Normal"/>
              <w:rPr>
                <w:rFonts w:ascii="Times New Roman" w:hAnsi="Times New Roman" w:eastAsia="Times New Roman" w:cs="Times New Roman"/>
              </w:rPr>
            </w:pPr>
            <w:r w:rsidRPr="25BF6034" w:rsidR="1763E04A">
              <w:rPr>
                <w:rFonts w:ascii="Times New Roman" w:hAnsi="Times New Roman" w:eastAsia="Times New Roman" w:cs="Times New Roman"/>
              </w:rPr>
              <w:t xml:space="preserve">Thank you for </w:t>
            </w:r>
            <w:r w:rsidRPr="25BF6034" w:rsidR="1763E04A">
              <w:rPr>
                <w:rFonts w:ascii="Times New Roman" w:hAnsi="Times New Roman" w:eastAsia="Times New Roman" w:cs="Times New Roman"/>
              </w:rPr>
              <w:t>highlighting</w:t>
            </w:r>
            <w:r w:rsidRPr="25BF6034" w:rsidR="1763E04A">
              <w:rPr>
                <w:rFonts w:ascii="Times New Roman" w:hAnsi="Times New Roman" w:eastAsia="Times New Roman" w:cs="Times New Roman"/>
              </w:rPr>
              <w:t xml:space="preserve"> this point. We have added clarifying sentences to increase clarity about timepoints, as well as a new subheading to vignettes </w:t>
            </w:r>
            <w:r w:rsidRPr="25BF6034" w:rsidR="70662255">
              <w:rPr>
                <w:rFonts w:ascii="Times New Roman" w:hAnsi="Times New Roman" w:eastAsia="Times New Roman" w:cs="Times New Roman"/>
              </w:rPr>
              <w:t>to provide structure to timepoint sections</w:t>
            </w:r>
            <w:r w:rsidRPr="25BF6034" w:rsidR="1763E04A">
              <w:rPr>
                <w:rFonts w:ascii="Times New Roman" w:hAnsi="Times New Roman" w:eastAsia="Times New Roman" w:cs="Times New Roman"/>
              </w:rPr>
              <w:t xml:space="preserve"> (p. 15; p. 17; p. 20; p.23).</w:t>
            </w:r>
          </w:p>
          <w:p w:rsidR="646A407A" w:rsidP="25BF6034" w:rsidRDefault="646A407A" w14:paraId="0E0C90EC" w14:textId="273337A6">
            <w:pPr>
              <w:pStyle w:val="Normal"/>
              <w:rPr>
                <w:rFonts w:ascii="Times New Roman" w:hAnsi="Times New Roman" w:eastAsia="Times New Roman" w:cs="Times New Roman"/>
              </w:rPr>
            </w:pPr>
          </w:p>
        </w:tc>
      </w:tr>
      <w:tr w:rsidR="24215121" w:rsidTr="25BF6034" w14:paraId="65E0A3A5">
        <w:trPr>
          <w:trHeight w:val="300"/>
        </w:trPr>
        <w:tc>
          <w:tcPr>
            <w:tcW w:w="4905" w:type="dxa"/>
            <w:tcMar/>
          </w:tcPr>
          <w:p w:rsidR="7F5E4B8D" w:rsidP="25BF6034" w:rsidRDefault="7F5E4B8D" w14:paraId="18C38C70" w14:textId="1910094F">
            <w:pPr>
              <w:shd w:val="clear" w:color="auto" w:fill="FFFFFF" w:themeFill="background1"/>
              <w:spacing w:before="0" w:beforeAutospacing="off" w:after="300" w:afterAutospacing="off"/>
              <w:rPr>
                <w:rFonts w:ascii="Times New Roman" w:hAnsi="Times New Roman" w:eastAsia="Times New Roman" w:cs="Times New Roman"/>
                <w:b w:val="0"/>
                <w:bCs w:val="0"/>
                <w:i w:val="0"/>
                <w:iCs w:val="0"/>
                <w:caps w:val="0"/>
                <w:smallCaps w:val="0"/>
                <w:noProof w:val="0"/>
                <w:color w:val="333333"/>
                <w:sz w:val="25"/>
                <w:szCs w:val="25"/>
                <w:lang w:val="en-US"/>
              </w:rPr>
            </w:pP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 xml:space="preserve">Through </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 xml:space="preserve">case studies, the authors </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demonstrate</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 xml:space="preserve"> clear involvement from stakeholders in the data parties. The case studies were a strength of this paper. However, th</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 xml:space="preserve">e </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 xml:space="preserve">lack of paper </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structure,</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 xml:space="preserve"> made grasping some of these details difficult. Future re-organization could help to make these points of involvement </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more clear</w:t>
            </w:r>
            <w:r w:rsidRPr="25BF6034" w:rsidR="7F5E4B8D">
              <w:rPr>
                <w:rFonts w:ascii="Times New Roman" w:hAnsi="Times New Roman" w:eastAsia="Times New Roman" w:cs="Times New Roman"/>
                <w:b w:val="0"/>
                <w:bCs w:val="0"/>
                <w:i w:val="0"/>
                <w:iCs w:val="0"/>
                <w:caps w:val="0"/>
                <w:smallCaps w:val="0"/>
                <w:noProof w:val="0"/>
                <w:color w:val="333333"/>
                <w:sz w:val="25"/>
                <w:szCs w:val="25"/>
                <w:lang w:val="en-US"/>
              </w:rPr>
              <w:t>.</w:t>
            </w:r>
          </w:p>
        </w:tc>
        <w:tc>
          <w:tcPr>
            <w:tcW w:w="5895" w:type="dxa"/>
            <w:tcMar/>
          </w:tcPr>
          <w:p w:rsidR="200A935C" w:rsidP="25BF6034" w:rsidRDefault="200A935C" w14:paraId="3958FBAE" w14:textId="725A238C">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rPr>
            </w:pPr>
            <w:r w:rsidRPr="25BF6034" w:rsidR="6F1F1C85">
              <w:rPr>
                <w:rFonts w:ascii="Times New Roman" w:hAnsi="Times New Roman" w:eastAsia="Times New Roman" w:cs="Times New Roman"/>
              </w:rPr>
              <w:t>Thank you for this helpful note. We have adjusted the manuscript to include a paragraph in the introduction that outlines the overall structure of the manuscript and the rationale for its intentional organization (p.5)</w:t>
            </w:r>
          </w:p>
          <w:p w:rsidR="200A935C" w:rsidP="24215121" w:rsidRDefault="200A935C" w14:paraId="2208152D" w14:textId="3BADB81A">
            <w:pPr>
              <w:pStyle w:val="Normal"/>
              <w:rPr>
                <w:rFonts w:ascii="Times New Roman" w:hAnsi="Times New Roman" w:eastAsia="Times New Roman" w:cs="Times New Roman"/>
                <w:highlight w:val="darkGreen"/>
              </w:rPr>
            </w:pPr>
          </w:p>
          <w:p w:rsidR="3AE01619" w:rsidP="24215121" w:rsidRDefault="3AE01619" w14:paraId="772B87F6" w14:textId="2EFD76F7">
            <w:pPr>
              <w:pStyle w:val="Normal"/>
              <w:rPr>
                <w:rFonts w:ascii="Times New Roman" w:hAnsi="Times New Roman" w:eastAsia="Times New Roman" w:cs="Times New Roman"/>
                <w:highlight w:val="darkGreen"/>
              </w:rPr>
            </w:pPr>
          </w:p>
        </w:tc>
      </w:tr>
      <w:tr w:rsidR="24215121" w:rsidTr="25BF6034" w14:paraId="00842C11">
        <w:trPr>
          <w:trHeight w:val="300"/>
        </w:trPr>
        <w:tc>
          <w:tcPr>
            <w:tcW w:w="4905" w:type="dxa"/>
            <w:tcMar/>
          </w:tcPr>
          <w:p w:rsidR="7F5E4B8D" w:rsidP="25BF6034" w:rsidRDefault="7F5E4B8D" w14:paraId="7C089FE2" w14:textId="798FA1E2">
            <w:pPr>
              <w:pStyle w:val="Normal"/>
              <w:rPr>
                <w:rFonts w:ascii="Times New Roman" w:hAnsi="Times New Roman" w:eastAsia="Times New Roman" w:cs="Times New Roman"/>
                <w:b w:val="0"/>
                <w:bCs w:val="0"/>
                <w:i w:val="0"/>
                <w:iCs w:val="0"/>
                <w:caps w:val="0"/>
                <w:smallCaps w:val="0"/>
                <w:noProof w:val="0"/>
                <w:color w:val="333333"/>
                <w:sz w:val="24"/>
                <w:szCs w:val="24"/>
                <w:lang w:val="en-US"/>
              </w:rPr>
            </w:pP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In the end, this paper topic - and the case study approach - shows promise. I wish the authors well on future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revisions, and</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recomm</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end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resubmitting</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 xml:space="preserve"> the paper to this journal (or alternatively another evaluation focused journal) </w:t>
            </w:r>
            <w:r w:rsidRPr="25BF6034" w:rsidR="7F5E4B8D">
              <w:rPr>
                <w:rFonts w:ascii="Times New Roman" w:hAnsi="Times New Roman" w:eastAsia="Times New Roman" w:cs="Times New Roman"/>
                <w:b w:val="0"/>
                <w:bCs w:val="0"/>
                <w:i w:val="0"/>
                <w:iCs w:val="0"/>
                <w:caps w:val="0"/>
                <w:smallCaps w:val="0"/>
                <w:noProof w:val="0"/>
                <w:color w:val="333333"/>
                <w:sz w:val="24"/>
                <w:szCs w:val="24"/>
                <w:lang w:val="en-US"/>
              </w:rPr>
              <w:t>once some of the conceptual and organizational challenges are addressed.</w:t>
            </w:r>
          </w:p>
          <w:p w:rsidR="24215121" w:rsidP="24215121" w:rsidRDefault="24215121" w14:paraId="2C951F46" w14:textId="4C58EC46">
            <w:pPr>
              <w:pStyle w:val="Normal"/>
              <w:rPr>
                <w:rFonts w:ascii="Times New Roman" w:hAnsi="Times New Roman" w:eastAsia="Times New Roman" w:cs="Times New Roman"/>
                <w:b w:val="0"/>
                <w:bCs w:val="0"/>
                <w:i w:val="0"/>
                <w:iCs w:val="0"/>
                <w:caps w:val="0"/>
                <w:smallCaps w:val="0"/>
                <w:noProof w:val="0"/>
                <w:color w:val="333333"/>
                <w:sz w:val="24"/>
                <w:szCs w:val="24"/>
                <w:lang w:val="en-US"/>
              </w:rPr>
            </w:pPr>
          </w:p>
        </w:tc>
        <w:tc>
          <w:tcPr>
            <w:tcW w:w="5895" w:type="dxa"/>
            <w:tcMar/>
          </w:tcPr>
          <w:p w:rsidR="494E7A82" w:rsidP="6A24B2B6" w:rsidRDefault="494E7A82" w14:paraId="082EC0E3" w14:textId="03BD0E68">
            <w:pPr>
              <w:pStyle w:val="Normal"/>
              <w:rPr>
                <w:rFonts w:ascii="Times New Roman" w:hAnsi="Times New Roman" w:eastAsia="Times New Roman" w:cs="Times New Roman"/>
              </w:rPr>
            </w:pPr>
            <w:r w:rsidRPr="6A24B2B6" w:rsidR="6E4EA003">
              <w:rPr>
                <w:rFonts w:ascii="Times New Roman" w:hAnsi="Times New Roman" w:eastAsia="Times New Roman" w:cs="Times New Roman"/>
              </w:rPr>
              <w:t>N/A</w:t>
            </w:r>
          </w:p>
        </w:tc>
      </w:tr>
    </w:tbl>
    <w:p w:rsidR="24215121" w:rsidRDefault="24215121" w14:paraId="6BE46E96" w14:textId="56F6C2FB"/>
    <w:p w:rsidR="5AEE1965" w:rsidP="24215121" w:rsidRDefault="5AEE1965" w14:paraId="4B827D31" w14:noSpellErr="1" w14:textId="79062322">
      <w:pPr>
        <w:rPr>
          <w:rFonts w:ascii="Times New Roman" w:hAnsi="Times New Roman" w:eastAsia="Times New Roman" w:cs="Times New Roman"/>
          <w:b w:val="1"/>
          <w:bCs w:val="1"/>
        </w:rPr>
      </w:pPr>
    </w:p>
    <w:p w:rsidR="24215121" w:rsidRDefault="24215121" w14:paraId="293CF931" w14:textId="0DA01E4A"/>
    <w:sectPr>
      <w:pgSz w:w="12240" w:h="15840" w:orient="portrait"/>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KC" w:author="Katrina Carbone" w:date="2025-12-05T13:28:43" w:id="816426183">
    <w:p xmlns:w14="http://schemas.microsoft.com/office/word/2010/wordml" xmlns:w="http://schemas.openxmlformats.org/wordprocessingml/2006/main" w:rsidR="2C66274B" w:rsidRDefault="7FFDF0C4" w14:paraId="0EF4F501" w14:textId="46B9C52A">
      <w:pPr>
        <w:pStyle w:val="CommentText"/>
      </w:pPr>
      <w:r>
        <w:rPr>
          <w:rStyle w:val="CommentReference"/>
        </w:rPr>
        <w:annotationRef/>
      </w:r>
      <w:r w:rsidRPr="6B0E40B8" w:rsidR="76E16826">
        <w:t xml:space="preserve">MS / FDP, thoughts on what I added? Anything else you might add to make the contribution(s) more explicit? </w:t>
      </w:r>
    </w:p>
  </w:comment>
  <w:comment xmlns:w="http://schemas.openxmlformats.org/wordprocessingml/2006/main" w:initials="FP" w:author="François-Daniel Portelance" w:date="2025-12-21T09:11:08" w:id="327310322">
    <w:p xmlns:w14="http://schemas.microsoft.com/office/word/2010/wordml" xmlns:w="http://schemas.openxmlformats.org/wordprocessingml/2006/main" w:rsidR="3A3B3796" w:rsidRDefault="5A415D1A" w14:paraId="39D6F532" w14:textId="1FBBB400">
      <w:pPr>
        <w:pStyle w:val="CommentText"/>
      </w:pPr>
      <w:r>
        <w:rPr>
          <w:rStyle w:val="CommentReference"/>
        </w:rPr>
        <w:annotationRef/>
      </w:r>
      <w:r w:rsidRPr="7C3424EE" w:rsidR="2AAA91DF">
        <w:t>Might need an extra review to ensure this is the point we intended/want to make in response to this comment</w:t>
      </w:r>
    </w:p>
  </w:comment>
  <w:comment xmlns:w="http://schemas.openxmlformats.org/wordprocessingml/2006/main" w:initials="FP" w:author="François-Daniel Portelance" w:date="2025-12-21T09:13:01" w:id="182998590">
    <w:p xmlns:w14="http://schemas.microsoft.com/office/word/2010/wordml" xmlns:w="http://schemas.openxmlformats.org/wordprocessingml/2006/main" w:rsidR="527B5B4B" w:rsidRDefault="37DBF416" w14:paraId="11CC77E9" w14:textId="46A3EB46">
      <w:pPr>
        <w:pStyle w:val="CommentText"/>
      </w:pPr>
      <w:r>
        <w:rPr>
          <w:rStyle w:val="CommentReference"/>
        </w:rPr>
        <w:annotationRef/>
      </w:r>
      <w:r w:rsidRPr="7CF34504" w:rsidR="401BE95A">
        <w:t xml:space="preserve">This is solid! Some of the sections I added to address reviewer 2 comments reinforce these points. Maybe a final holistic read will reveal any gaps/connections we can make. </w:t>
      </w:r>
    </w:p>
  </w:comment>
</w:comments>
</file>

<file path=word/commentsExtended.xml><?xml version="1.0" encoding="utf-8"?>
<w15:commentsEx xmlns:mc="http://schemas.openxmlformats.org/markup-compatibility/2006" xmlns:w15="http://schemas.microsoft.com/office/word/2012/wordml" mc:Ignorable="w15">
  <w15:commentEx w15:done="1" w15:paraId="0EF4F501"/>
  <w15:commentEx w15:done="1" w15:paraId="39D6F532"/>
  <w15:commentEx w15:done="1" w15:paraId="11CC77E9" w15:paraIdParent="0EF4F50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E1587F9" w16cex:dateUtc="2025-12-05T18:28:43.474Z"/>
  <w16cex:commentExtensible w16cex:durableId="3282BAAE" w16cex:dateUtc="2025-12-21T14:11:08.293Z"/>
  <w16cex:commentExtensible w16cex:durableId="6F00D525" w16cex:dateUtc="2025-12-21T14:13:01.684Z"/>
</w16cex:commentsExtensible>
</file>

<file path=word/commentsIds.xml><?xml version="1.0" encoding="utf-8"?>
<w16cid:commentsIds xmlns:mc="http://schemas.openxmlformats.org/markup-compatibility/2006" xmlns:w16cid="http://schemas.microsoft.com/office/word/2016/wordml/cid" mc:Ignorable="w16cid">
  <w16cid:commentId w16cid:paraId="0EF4F501" w16cid:durableId="3E1587F9"/>
  <w16cid:commentId w16cid:paraId="39D6F532" w16cid:durableId="3282BAAE"/>
  <w16cid:commentId w16cid:paraId="11CC77E9" w16cid:durableId="6F00D5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87b66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people.xml><?xml version="1.0" encoding="utf-8"?>
<w15:people xmlns:mc="http://schemas.openxmlformats.org/markup-compatibility/2006" xmlns:w15="http://schemas.microsoft.com/office/word/2012/wordml" mc:Ignorable="w15">
  <w15:person w15:author="Katrina Carbone">
    <w15:presenceInfo w15:providerId="AD" w15:userId="S::kmc16@queensu.ca::a44046e7-6985-4a1f-8537-af9355769a51"/>
  </w15:person>
  <w15:person w15:author="Katrina Carbone">
    <w15:presenceInfo w15:providerId="AD" w15:userId="S::kmc16@queensu.ca::a44046e7-6985-4a1f-8537-af9355769a51"/>
  </w15:person>
  <w15:person w15:author="François-Daniel Portelance">
    <w15:presenceInfo w15:providerId="AD" w15:userId="S::21fdlp@queensu.ca::20ec3918-8ee2-4f35-9c1b-a6fac7a3f0b8"/>
  </w15:person>
  <w15:person w15:author="François-Daniel Portelance">
    <w15:presenceInfo w15:providerId="AD" w15:userId="S::21fdlp@queensu.ca::20ec3918-8ee2-4f35-9c1b-a6fac7a3f0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DA69F"/>
    <w:rsid w:val="0155EDC7"/>
    <w:rsid w:val="02AECBBC"/>
    <w:rsid w:val="02F06510"/>
    <w:rsid w:val="02FE24A1"/>
    <w:rsid w:val="03B2180E"/>
    <w:rsid w:val="03C04C22"/>
    <w:rsid w:val="03C4AF4B"/>
    <w:rsid w:val="04123503"/>
    <w:rsid w:val="05C3C115"/>
    <w:rsid w:val="05D17B12"/>
    <w:rsid w:val="066A6277"/>
    <w:rsid w:val="090059D9"/>
    <w:rsid w:val="09411012"/>
    <w:rsid w:val="0A01ED6C"/>
    <w:rsid w:val="0A66C65C"/>
    <w:rsid w:val="0A936BA1"/>
    <w:rsid w:val="0B4C4162"/>
    <w:rsid w:val="0C19D746"/>
    <w:rsid w:val="0C23917E"/>
    <w:rsid w:val="0FB17F91"/>
    <w:rsid w:val="0FE164BD"/>
    <w:rsid w:val="100F50DC"/>
    <w:rsid w:val="1041A743"/>
    <w:rsid w:val="105D2A94"/>
    <w:rsid w:val="108E49B9"/>
    <w:rsid w:val="10A3EC04"/>
    <w:rsid w:val="1121A4ED"/>
    <w:rsid w:val="118914E1"/>
    <w:rsid w:val="12ED7895"/>
    <w:rsid w:val="138BACE9"/>
    <w:rsid w:val="13B8BACD"/>
    <w:rsid w:val="14B369FB"/>
    <w:rsid w:val="15AE80E9"/>
    <w:rsid w:val="16707C80"/>
    <w:rsid w:val="1710A93D"/>
    <w:rsid w:val="1763E04A"/>
    <w:rsid w:val="17E032DB"/>
    <w:rsid w:val="18490F06"/>
    <w:rsid w:val="18AEB5E8"/>
    <w:rsid w:val="18E8AF8B"/>
    <w:rsid w:val="19C7F6D2"/>
    <w:rsid w:val="1B290F57"/>
    <w:rsid w:val="1BACBDB6"/>
    <w:rsid w:val="1DA25912"/>
    <w:rsid w:val="1DD43C39"/>
    <w:rsid w:val="1F0D7731"/>
    <w:rsid w:val="1FDE8630"/>
    <w:rsid w:val="200A935C"/>
    <w:rsid w:val="20A137A9"/>
    <w:rsid w:val="20B8FBE0"/>
    <w:rsid w:val="22A9CD58"/>
    <w:rsid w:val="2363E81C"/>
    <w:rsid w:val="240A9ED2"/>
    <w:rsid w:val="241E469E"/>
    <w:rsid w:val="24215121"/>
    <w:rsid w:val="24255D94"/>
    <w:rsid w:val="258DE2B7"/>
    <w:rsid w:val="25BF6034"/>
    <w:rsid w:val="263640EC"/>
    <w:rsid w:val="26DA22FA"/>
    <w:rsid w:val="26E87FBF"/>
    <w:rsid w:val="27CE8C4B"/>
    <w:rsid w:val="281B629E"/>
    <w:rsid w:val="28C07524"/>
    <w:rsid w:val="29A6A528"/>
    <w:rsid w:val="2ABC6B07"/>
    <w:rsid w:val="2B8A85EE"/>
    <w:rsid w:val="2BFBE5CE"/>
    <w:rsid w:val="2C81B503"/>
    <w:rsid w:val="2CDC74AB"/>
    <w:rsid w:val="2CFE146E"/>
    <w:rsid w:val="2D2D121B"/>
    <w:rsid w:val="2D9D0114"/>
    <w:rsid w:val="2DEC8EE3"/>
    <w:rsid w:val="2DF9EF70"/>
    <w:rsid w:val="2F9C7893"/>
    <w:rsid w:val="2FF92D16"/>
    <w:rsid w:val="30BCCE8E"/>
    <w:rsid w:val="3125BA21"/>
    <w:rsid w:val="313412C4"/>
    <w:rsid w:val="324F089C"/>
    <w:rsid w:val="3433D015"/>
    <w:rsid w:val="34EEE6E7"/>
    <w:rsid w:val="3552E60C"/>
    <w:rsid w:val="35A200AD"/>
    <w:rsid w:val="35B0108E"/>
    <w:rsid w:val="36405FE7"/>
    <w:rsid w:val="37217068"/>
    <w:rsid w:val="3822D841"/>
    <w:rsid w:val="39AE5762"/>
    <w:rsid w:val="39EC87C6"/>
    <w:rsid w:val="3A78E5A1"/>
    <w:rsid w:val="3A8A0960"/>
    <w:rsid w:val="3AE01619"/>
    <w:rsid w:val="3B213FE2"/>
    <w:rsid w:val="3BA43C76"/>
    <w:rsid w:val="3BBDC22D"/>
    <w:rsid w:val="3BFA2540"/>
    <w:rsid w:val="3C3780F5"/>
    <w:rsid w:val="3C6DFB24"/>
    <w:rsid w:val="3DA3E9A7"/>
    <w:rsid w:val="3DF77FEF"/>
    <w:rsid w:val="3EDBAE7A"/>
    <w:rsid w:val="3F5E8B05"/>
    <w:rsid w:val="3F669E34"/>
    <w:rsid w:val="3F880679"/>
    <w:rsid w:val="3FA69074"/>
    <w:rsid w:val="404A90A1"/>
    <w:rsid w:val="40FCAE00"/>
    <w:rsid w:val="4103C0F6"/>
    <w:rsid w:val="41479799"/>
    <w:rsid w:val="41E22D97"/>
    <w:rsid w:val="4237EB9A"/>
    <w:rsid w:val="42B6622B"/>
    <w:rsid w:val="42B8A436"/>
    <w:rsid w:val="42D3B977"/>
    <w:rsid w:val="43A9ED09"/>
    <w:rsid w:val="449177F5"/>
    <w:rsid w:val="44ED1FBA"/>
    <w:rsid w:val="45108BC2"/>
    <w:rsid w:val="4610C9D6"/>
    <w:rsid w:val="479DEEC6"/>
    <w:rsid w:val="47C94F14"/>
    <w:rsid w:val="48445C18"/>
    <w:rsid w:val="48B5ED0A"/>
    <w:rsid w:val="494E7A82"/>
    <w:rsid w:val="49A00098"/>
    <w:rsid w:val="49C15CC2"/>
    <w:rsid w:val="4E2EF0B1"/>
    <w:rsid w:val="4EFCA1F0"/>
    <w:rsid w:val="4F7160B1"/>
    <w:rsid w:val="509BFEBD"/>
    <w:rsid w:val="51122037"/>
    <w:rsid w:val="515E1C50"/>
    <w:rsid w:val="51874060"/>
    <w:rsid w:val="51B6F419"/>
    <w:rsid w:val="51F5B1A4"/>
    <w:rsid w:val="522597C8"/>
    <w:rsid w:val="53AF9058"/>
    <w:rsid w:val="53D9CE7D"/>
    <w:rsid w:val="53FD00E1"/>
    <w:rsid w:val="548EFE67"/>
    <w:rsid w:val="56A4DABD"/>
    <w:rsid w:val="5753E487"/>
    <w:rsid w:val="57782DA7"/>
    <w:rsid w:val="57C119AE"/>
    <w:rsid w:val="583D1391"/>
    <w:rsid w:val="5893D6C3"/>
    <w:rsid w:val="58C2AC1C"/>
    <w:rsid w:val="59F9DE0D"/>
    <w:rsid w:val="5AE7BF56"/>
    <w:rsid w:val="5AEE1965"/>
    <w:rsid w:val="5AF602D1"/>
    <w:rsid w:val="5BC0A47E"/>
    <w:rsid w:val="5C676F2D"/>
    <w:rsid w:val="5DC83C09"/>
    <w:rsid w:val="5EA6076D"/>
    <w:rsid w:val="5EB08C63"/>
    <w:rsid w:val="5ED543DE"/>
    <w:rsid w:val="5F380FE1"/>
    <w:rsid w:val="5FA87385"/>
    <w:rsid w:val="6085B5E8"/>
    <w:rsid w:val="60974D96"/>
    <w:rsid w:val="60A48036"/>
    <w:rsid w:val="60B8ACDD"/>
    <w:rsid w:val="610C12B0"/>
    <w:rsid w:val="61C84DBE"/>
    <w:rsid w:val="63D5977A"/>
    <w:rsid w:val="646A407A"/>
    <w:rsid w:val="65270897"/>
    <w:rsid w:val="65380BF9"/>
    <w:rsid w:val="660DD7C6"/>
    <w:rsid w:val="67D09C99"/>
    <w:rsid w:val="686CB481"/>
    <w:rsid w:val="69CD2991"/>
    <w:rsid w:val="6A24B2B6"/>
    <w:rsid w:val="6A620693"/>
    <w:rsid w:val="6A81EC63"/>
    <w:rsid w:val="6B0610BD"/>
    <w:rsid w:val="6B437DBA"/>
    <w:rsid w:val="6BA77BD1"/>
    <w:rsid w:val="6C9479C9"/>
    <w:rsid w:val="6CD516AE"/>
    <w:rsid w:val="6CEBA80B"/>
    <w:rsid w:val="6D4D709A"/>
    <w:rsid w:val="6E0921DF"/>
    <w:rsid w:val="6E4EA003"/>
    <w:rsid w:val="6F14FC3F"/>
    <w:rsid w:val="6F1F1C85"/>
    <w:rsid w:val="6F6DA1B7"/>
    <w:rsid w:val="6F6DA69C"/>
    <w:rsid w:val="70662255"/>
    <w:rsid w:val="709D1DF7"/>
    <w:rsid w:val="712A2875"/>
    <w:rsid w:val="7148226C"/>
    <w:rsid w:val="71CE9DD2"/>
    <w:rsid w:val="72002683"/>
    <w:rsid w:val="720224C1"/>
    <w:rsid w:val="72449C2E"/>
    <w:rsid w:val="72637787"/>
    <w:rsid w:val="72D63709"/>
    <w:rsid w:val="73C178B2"/>
    <w:rsid w:val="73F25F94"/>
    <w:rsid w:val="73F4000B"/>
    <w:rsid w:val="74C92088"/>
    <w:rsid w:val="7548BB51"/>
    <w:rsid w:val="757BEF96"/>
    <w:rsid w:val="7586886E"/>
    <w:rsid w:val="765C9260"/>
    <w:rsid w:val="770147A2"/>
    <w:rsid w:val="77BF094E"/>
    <w:rsid w:val="77DCE975"/>
    <w:rsid w:val="77DE7411"/>
    <w:rsid w:val="77F3117D"/>
    <w:rsid w:val="786DA69F"/>
    <w:rsid w:val="7924E247"/>
    <w:rsid w:val="7B8DEF45"/>
    <w:rsid w:val="7B9B7E19"/>
    <w:rsid w:val="7CA52210"/>
    <w:rsid w:val="7D98C581"/>
    <w:rsid w:val="7DCBB825"/>
    <w:rsid w:val="7DE23C54"/>
    <w:rsid w:val="7E369F3C"/>
    <w:rsid w:val="7E7BE2EE"/>
    <w:rsid w:val="7F5E4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F958"/>
  <w15:chartTrackingRefBased/>
  <w15:docId w15:val="{9A8B5163-40F5-4CE4-BF97-4BE34C44DE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24215121"/>
    <w:rPr>
      <w:color w:val="467886"/>
      <w:u w:val="single"/>
    </w:rPr>
  </w:style>
  <w:style w:type="paragraph" w:styleId="ListParagraph">
    <w:uiPriority w:val="34"/>
    <w:name w:val="List Paragraph"/>
    <w:basedOn w:val="Normal"/>
    <w:qFormat/>
    <w:rsid w:val="2421512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queensuca.sharepoint.com/:w:/r/teams/GROUP-PEARL557/Shared%20Documents/General/3.%20Research%20(Publications%20and%20Manuscripts)/5.%20Data%20Party%20Paper/JPRM%20Submission/REVIEWER%20FILE_Blind_Participatory%20Sensemaking%20Through%20Data%20Parties1.docx?d=w218f24a947804edfa55f7e22c283126a&amp;csf=1&amp;web=1&amp;e=ObYN7e" TargetMode="External" Id="Rc64106d8c24b4884" /><Relationship Type="http://schemas.openxmlformats.org/officeDocument/2006/relationships/numbering" Target="numbering.xml" Id="Rb477ece23ad1468c" /><Relationship Type="http://schemas.openxmlformats.org/officeDocument/2006/relationships/comments" Target="comments.xml" Id="Ra72992d7207e499c" /><Relationship Type="http://schemas.microsoft.com/office/2011/relationships/people" Target="people.xml" Id="Rf1d97b435b404d00" /><Relationship Type="http://schemas.microsoft.com/office/2011/relationships/commentsExtended" Target="commentsExtended.xml" Id="R5f8bdb4860504041" /><Relationship Type="http://schemas.microsoft.com/office/2016/09/relationships/commentsIds" Target="commentsIds.xml" Id="Rc84e5f9a305542c1" /><Relationship Type="http://schemas.microsoft.com/office/2018/08/relationships/commentsExtensible" Target="commentsExtensible.xml" Id="Rda099c3352024ef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3623B1E159DE47B98ED2172EE5BB96" ma:contentTypeVersion="10" ma:contentTypeDescription="Create a new document." ma:contentTypeScope="" ma:versionID="ef5aca9f5bf14b90595777f946326aa7">
  <xsd:schema xmlns:xsd="http://www.w3.org/2001/XMLSchema" xmlns:xs="http://www.w3.org/2001/XMLSchema" xmlns:p="http://schemas.microsoft.com/office/2006/metadata/properties" xmlns:ns2="a40ba27a-bd25-4b70-a82c-0c26246ed570" xmlns:ns3="3c4dca6e-a27a-4548-8ae2-e8e3a1a62ec6" targetNamespace="http://schemas.microsoft.com/office/2006/metadata/properties" ma:root="true" ma:fieldsID="f169ec3d1acf7eb585b6c8d87b71f81f" ns2:_="" ns3:_="">
    <xsd:import namespace="a40ba27a-bd25-4b70-a82c-0c26246ed570"/>
    <xsd:import namespace="3c4dca6e-a27a-4548-8ae2-e8e3a1a62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ba27a-bd25-4b70-a82c-0c26246ed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d2e69d-a885-47d9-a849-8bc90acf94c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4dca6e-a27a-4548-8ae2-e8e3a1a62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f43021-4a1b-4d23-8b7d-d050e1c32c4c}" ma:internalName="TaxCatchAll" ma:showField="CatchAllData" ma:web="3c4dca6e-a27a-4548-8ae2-e8e3a1a62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4dca6e-a27a-4548-8ae2-e8e3a1a62ec6" xsi:nil="true"/>
    <lcf76f155ced4ddcb4097134ff3c332f xmlns="a40ba27a-bd25-4b70-a82c-0c26246ed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995C7-4123-48EE-A2F8-DE24814B5BC2}"/>
</file>

<file path=customXml/itemProps2.xml><?xml version="1.0" encoding="utf-8"?>
<ds:datastoreItem xmlns:ds="http://schemas.openxmlformats.org/officeDocument/2006/customXml" ds:itemID="{7121B99E-3D5D-4492-A568-91AB6F90E02F}"/>
</file>

<file path=customXml/itemProps3.xml><?xml version="1.0" encoding="utf-8"?>
<ds:datastoreItem xmlns:ds="http://schemas.openxmlformats.org/officeDocument/2006/customXml" ds:itemID="{17C68853-72A1-4112-8817-F9520215AC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François-Daniel Portelance</dc:creator>
  <keywords/>
  <dc:description/>
  <lastModifiedBy>Michelle Searle</lastModifiedBy>
  <dcterms:created xsi:type="dcterms:W3CDTF">2025-11-07T15:03:33.0000000Z</dcterms:created>
  <dcterms:modified xsi:type="dcterms:W3CDTF">2025-12-23T12:18:37.8590814Z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0x010100483623B1E159DE47B98ED2172EE5BB96</vt:lpwstr>
  </property>
  <property fmtid="{D5CDD505-2E9C-101B-9397-08002B2CF9AE}" pid="3" name="MediaServiceImageTags">
    <vt:lpwstr/>
  </property>
</Properties>
</file>